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333-291266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1744980</wp:posOffset>
            </wp:positionH>
            <wp:positionV relativeFrom="paragraph">
              <wp:posOffset>5715</wp:posOffset>
            </wp:positionV>
            <wp:extent cx="3651885" cy="874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1885"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HighPeak Energy, Inc.</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Up to $150,000,000</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entered into a sales agreement, dated May 6, 2026 (the “Sales Agreement”), with Roth Capital Partners, LLC as lead agent (Roth or the “Lead Agent”) and USCA Securities LLC (“USCA”) (each of Roth and USCA, an “Agent” and together, the “Agents”), relating to shares of our common stock offered by this prospectus supplement and the accompanying prospectus. In accordance with the terms of the Sales Agreement, we may offer and sell shares of our common stock from time to time through the Lead Agent. This prospectus supplement is offering shares of our common stock having an aggregate offering price of $150 million.</w:t>
      </w:r>
    </w:p>
    <w:p>
      <w:pPr>
        <w:spacing w:after="0" w:line="183"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Shares of our common stock trade on the Nasdaq Global Market (“Nasdaq”), under the symbol “HPK.” On May 5, 2026, the last sale price of the shares as reported on Nasdaq was $6.79 per share.</w:t>
      </w:r>
    </w:p>
    <w:p>
      <w:pPr>
        <w:spacing w:after="0" w:line="16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pursuant to this prospectus supplement and the accompanying prospectus will be made in any method permitted by law deemed to be an “at the market offering” as defined in Rule 415 under the Securities Act of 1933, as amended (the “Securities Act”). The Lead Agent will make all sales using commercially reasonable efforts consistent with its normal sales and trading practices on terms mutually agreed upon between Lead Agent and us.</w:t>
      </w:r>
    </w:p>
    <w:p>
      <w:pPr>
        <w:spacing w:after="0" w:line="180"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to the Agents for sales of our common stock pursuant to the Sales Agreement will be an amount up to 3.00% of the gross sales price of all common stock sold thereunder. In connection with the sale of the common stock on our behalf, the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Securities Exchange Act of 1934, as amended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S-3 of this prospectus supplement and on page 2 of the accompanying prospectus for information regarding risks you should consider before investing in our common stock.</w:t>
      </w:r>
    </w:p>
    <w:p>
      <w:pPr>
        <w:spacing w:after="0" w:line="155"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5" w:lineRule="exact"/>
        <w:rPr>
          <w:sz w:val="24"/>
          <w:szCs w:val="24"/>
          <w:color w:val="auto"/>
        </w:rPr>
      </w:pPr>
    </w:p>
    <w:p>
      <w:pPr>
        <w:ind w:left="1620"/>
        <w:spacing w:after="0"/>
        <w:tabs>
          <w:tab w:leader="none" w:pos="7520" w:val="left"/>
        </w:tabs>
        <w:rPr>
          <w:sz w:val="20"/>
          <w:szCs w:val="20"/>
          <w:color w:val="auto"/>
        </w:rPr>
      </w:pPr>
      <w:r>
        <w:rPr>
          <w:rFonts w:ascii="Times New Roman" w:cs="Times New Roman" w:eastAsia="Times New Roman" w:hAnsi="Times New Roman"/>
          <w:sz w:val="25"/>
          <w:szCs w:val="25"/>
          <w:b w:val="1"/>
          <w:bCs w:val="1"/>
          <w:color w:val="auto"/>
        </w:rPr>
        <w:t>Roth Capital Partners</w:t>
      </w:r>
      <w:r>
        <w:rPr>
          <w:sz w:val="20"/>
          <w:szCs w:val="20"/>
          <w:color w:val="auto"/>
        </w:rPr>
        <w:tab/>
      </w:r>
      <w:r>
        <w:rPr>
          <w:rFonts w:ascii="Times New Roman" w:cs="Times New Roman" w:eastAsia="Times New Roman" w:hAnsi="Times New Roman"/>
          <w:sz w:val="25"/>
          <w:szCs w:val="25"/>
          <w:b w:val="1"/>
          <w:bCs w:val="1"/>
          <w:color w:val="auto"/>
        </w:rPr>
        <w:t>USCA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9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MATERIAL U.S. FEDERAL INCOME TAX CONSIDERATIONS FOR NON-U.S.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DOCUMENTS INCORPORATED BY REFERENCE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9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Base Prospectus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DOCUMENTS INCORPORATED BY REFERENCE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HIGHPEAK ENERGY, INC.</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9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Resale Prospectus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DOCUMENTS INCORPORATED BY REFERENCE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HIGHPEAK ENERGY, INC.</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SECURITYHOLDERS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is in two parts. The first part, the prospectus supplement, including the documents incorporated by reference therein, describes the specific terms of this offering and certain matters relating to us. The second part, the accompanying prospectus, including the documents incorporated by reference therein, provides more general information, some of which may not apply to this offering. The accompanying prospectus was filed as part of our registration statement on Form S-3 (Registration No. </w:t>
      </w:r>
      <w:hyperlink r:id="rId15">
        <w:r>
          <w:rPr>
            <w:rFonts w:ascii="Times New Roman" w:cs="Times New Roman" w:eastAsia="Times New Roman" w:hAnsi="Times New Roman"/>
            <w:sz w:val="18"/>
            <w:szCs w:val="18"/>
            <w:u w:val="single" w:color="auto"/>
            <w:color w:val="0000EE"/>
          </w:rPr>
          <w:t>333-291266</w:t>
        </w:r>
      </w:hyperlink>
      <w:r>
        <w:rPr>
          <w:rFonts w:ascii="Times New Roman" w:cs="Times New Roman" w:eastAsia="Times New Roman" w:hAnsi="Times New Roman"/>
          <w:sz w:val="18"/>
          <w:szCs w:val="18"/>
          <w:color w:val="auto"/>
        </w:rPr>
        <w:t>) with the Securities and Exchange Commission (the “SEC”) on November 4, 2025, as part of a “shelf” registration process and became effective on November 25, 2025. Under the shelf registration process, we may sell our common stock in one or more offerings. Generally, when we refer to this prospectus supplement, we are referring to both parts of this document combined. We urge you to read carefully this prospectus supplement, the accompanying prospectus, the information incorporated by reference herein and therein, and any free writing prospectus that we authorize to be distributed to you before buying our common stock being offered under this prospectus supplement. This prospectus supplement may supplement,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Neither we, nor the Agents, have authorized anyone to provide you with information that is different from that contained in or incorporated by reference into this prospectus supplement or the accompanying prospectus or in any free writing prospectus we may authorize to be delivered or made available to you. We take no responsibility for, and can provide no assurance as to the reliability of, any other information that others may provide to you. If information in this prospectus supplement is inconsistent with the accompanying prospectus, you should rely on this prospectus supplement. Neither we, nor the Agents, are making an offer of these securities in any jurisdiction where the offer or sale is not permitted. You should not assume that the information provided by this prospectus supplement, the accompanying prospectus or the documents incorporated by reference herein or therein is accurate as of any date other than the respective dates of such documents. Our business, financial condition, results of operations and prospects may have changed since those dates.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Before you invest in our common stock, you should carefully read the registration statement described in the accompanying prospectus (including the exhibits thereto) of which this prospectus supplement and the accompanying prospectus form a part, as well as this prospectus supplement, the accompanying prospectus and the documents incorporated by reference herein and therein. The documents incorporated by reference into this prospectus supplement are described under “Documents Incorporated by Reference.”</w:t>
      </w:r>
    </w:p>
    <w:p>
      <w:pPr>
        <w:spacing w:after="0" w:line="1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Except as expressly stated or the context otherwise requires, the terms “we,” “us,” “our,” “HPK,” and the “Company” refer to HighPeak Energy, Inc.</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documents to which the Company refers you to in this prospectus supplement, as well as oral statements made or to be made by the Company,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prospectus supplement,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3" w:lineRule="exact"/>
        <w:rPr>
          <w:sz w:val="20"/>
          <w:szCs w:val="20"/>
          <w:color w:val="auto"/>
        </w:rPr>
      </w:pPr>
    </w:p>
    <w:p>
      <w:pPr>
        <w:ind w:left="660" w:right="4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or decreased interest rates and resulting pressures on economic growth, U.S. trade policy and the imposition of and changes to tariffs;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conflicts in the Middle East and U.S. intervention in Venezuela;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including the effects of a prolonged U.S. government shutdown;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 including our ability to access such markets on attractive terms or at all, and related risks such as general credit, liquidity, market and interest-rate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covenants in our debt agreements and refinance or pay, when due, the principal of, interest or other amounts due in respect of our indebtedness;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 w:name="page5"/>
    <w:bookmarkEnd w:id="4"/>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its non-OPEC allies, known collectively as OPEC+, and agreements to set and maintain production levels;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management changes;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and</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set forth in our Annual Report on Form 10-K for the year ended December 31, 2025, any subsequently filed Quarterly Report on Form 10-Q and the other reports we file with the SEC that are incorporated by reference into this prospectus supplement;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set forth under “Risk Factors” and certain factors discussed elsewhere in this prospectus supplement.</w:t>
      </w:r>
    </w:p>
    <w:p>
      <w:pPr>
        <w:spacing w:after="0" w:line="25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light of these risks and uncertainties, you are cautioned not to put undue reliance on any forward-looking statements in this prospectus supplement. These statements should be considered only after carefully reading this entire prospectus supplement and our filings with the SEC.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prospectus supplement not to occur.</w:t>
      </w:r>
    </w:p>
    <w:p>
      <w:pPr>
        <w:spacing w:after="0" w:line="18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prospectus supplement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528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96455" cy="5284470"/>
                    </a:xfrm>
                    <a:prstGeom prst="rect">
                      <a:avLst/>
                    </a:prstGeom>
                    <a:noFill/>
                  </pic:spPr>
                </pic:pic>
              </a:graphicData>
            </a:graphic>
          </wp:anchor>
        </w:drawing>
        <w:t>SUMMARY</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does not contain all the information that you need to consider in making your investment decision. You should carefully read this entire prospectus supplement and the accompanying prospectus, as well as the information to which we refer you and the information incorporated by reference herein, before deciding whether to invest in our common stock.</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HighPeak Energy, Inc., a Delaware corporation formed on October 29, 2019, is an independent crude oil and natural gas exploration and production company that explores for, develops and produces crude oil, NGL and natural gas in the Permian Basin in West Texas, more specifically, the Midland Basin primarily in Howard and Borden Counties, Texas, and to a lesser extent Scurry and Mitchell Counties, which lie within the northeastern part of the crude oil-rich Midland Basin.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1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HighPeak Energy focuses on the Midland Basin primarily in northeast Howard and southeast Borden Counties, and to a lesser extent, northwest Mitchell and southwest Scurry Counties. Over the last eight decades this area of the Midland Basin was partially developed with vertical wells using conventional methods, and during the last decade has experienced significant redevelopment activity in the Lower Spraberry and Wolfcamp A formations utilizing modern horizontal drilling technology, with some operators having additional success developing the Middle Spraberry, Jo Mill, Wolfcamp B and Wolfcamp D formations, through the use of modern, high-intensity hydraulic fracturing techniques, decreased frac spacing, increased proppant usage and increased lateral lengths. Our interpretation of available IHS Markit data as well as our own drilling and completion results show that this area has a high crude oil mix percentage.</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Company’s assets include certain rights, title and interests in crude oil and natural gas assets located primarily in Howard and Borden Counties, Texas, and to a lesser extent, Mitchell and Scurry Counties, Texas. As of December 31, 2025, the Company’s assets consisted of two generally contiguous leasehold positions of approximately 152,201 gross (140,439 net) acres covering various subsurface depths, approximately 74% of which were held by production, with an average working interest of approximately 92%. We operate approximately 98% of the net acreage across the Company’s assets. The majority of HighPeak Energy’s horizontal development drilling plan is currently focused on the Wolfcamp A, Lower Spraberry and Middle Spraberry formations. We utilize multi-well pad development to lower drilling and completion cycle times and create infrastructure and facility economies of scale to reduce overall costs, optimize and maximize crude oil and natural gas recoveries, return on investment and value creation.</w:t>
      </w:r>
    </w:p>
    <w:p>
      <w:pPr>
        <w:spacing w:after="0" w:line="17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Our headquarters are located at 421 W.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 Suite 1000, Fort Worth, Texas 76102, and our telephone number is (817) 850-9200. Our website address is http://www.highpeakenergy.com. References to our website are provided as a convenience and do not constitute, and should not be deemed, an incorporation by reference of the information contained on, or available through, the website, and such information should not be considered part of this prospectus supplement.</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500" w:top="738"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473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96455" cy="4735830"/>
                    </a:xfrm>
                    <a:prstGeom prst="rect">
                      <a:avLst/>
                    </a:prstGeom>
                    <a:noFill/>
                  </pic:spPr>
                </pic:pic>
              </a:graphicData>
            </a:graphic>
          </wp:anchor>
        </w:drawing>
        <w:t>THE OFFERING</w:t>
      </w:r>
    </w:p>
    <w:p>
      <w:pPr>
        <w:sectPr>
          <w:pgSz w:w="11900" w:h="16838" w:orient="portrait"/>
          <w:cols w:equalWidth="0" w:num="1">
            <w:col w:w="11340"/>
          </w:cols>
          <w:pgMar w:left="320" w:top="738" w:right="239" w:bottom="1440" w:gutter="0" w:footer="0" w:header="0"/>
        </w:sect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HighPeak Energy, Inc.</w:t>
      </w:r>
    </w:p>
    <w:p>
      <w:pPr>
        <w:spacing w:after="0" w:line="200" w:lineRule="exact"/>
        <w:rPr>
          <w:sz w:val="20"/>
          <w:szCs w:val="20"/>
          <w:color w:val="auto"/>
        </w:rPr>
      </w:pPr>
    </w:p>
    <w:p>
      <w:pPr>
        <w:sectPr>
          <w:pgSz w:w="11900" w:h="16838" w:orient="portrait"/>
          <w:cols w:equalWidth="0" w:num="2">
            <w:col w:w="3860" w:space="720"/>
            <w:col w:w="6760"/>
          </w:cols>
          <w:pgMar w:left="320" w:top="738" w:right="2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$150 million.</w:t>
      </w:r>
    </w:p>
    <w:p>
      <w:pPr>
        <w:spacing w:after="0" w:line="200" w:lineRule="exact"/>
        <w:rPr>
          <w:sz w:val="20"/>
          <w:szCs w:val="20"/>
          <w:color w:val="auto"/>
        </w:rPr>
      </w:pPr>
    </w:p>
    <w:p>
      <w:pPr>
        <w:sectPr>
          <w:pgSz w:w="11900" w:h="16838" w:orient="portrait"/>
          <w:cols w:equalWidth="0" w:num="2">
            <w:col w:w="3860" w:space="720"/>
            <w:col w:w="6760"/>
          </w:cols>
          <w:pgMar w:left="320" w:top="738" w:right="239" w:bottom="1440" w:gutter="0" w:footer="0" w:header="0"/>
          <w:type w:val="continuous"/>
        </w:sect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Manner of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the Lead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read “Plan of Distribution” in this prospectus supplement for more information.</w:t>
      </w:r>
    </w:p>
    <w:p>
      <w:pPr>
        <w:spacing w:after="0" w:line="200" w:lineRule="exact"/>
        <w:rPr>
          <w:sz w:val="20"/>
          <w:szCs w:val="20"/>
          <w:color w:val="auto"/>
        </w:rPr>
      </w:pPr>
    </w:p>
    <w:p>
      <w:pPr>
        <w:sectPr>
          <w:pgSz w:w="11900" w:h="16838" w:orient="portrait"/>
          <w:cols w:equalWidth="0" w:num="2">
            <w:col w:w="3860" w:space="720"/>
            <w:col w:w="6760"/>
          </w:cols>
          <w:pgMar w:left="320" w:top="73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currently plan to use the net proceeds from this offering, after deducting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Agents’ commissions and offering expenses payable by us, for general corporate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may include, among other things, paying or refinancing all or a portion of our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indebtedness. Please read “Use of Proceeds” in this prospectus supplement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w:t>
      </w:r>
    </w:p>
    <w:p>
      <w:pPr>
        <w:spacing w:after="0" w:line="200" w:lineRule="exact"/>
        <w:rPr>
          <w:sz w:val="20"/>
          <w:szCs w:val="20"/>
          <w:color w:val="auto"/>
        </w:rPr>
      </w:pPr>
    </w:p>
    <w:p>
      <w:pPr>
        <w:sectPr>
          <w:pgSz w:w="11900" w:h="16838" w:orient="portrait"/>
          <w:cols w:equalWidth="0" w:num="2">
            <w:col w:w="3860" w:space="720"/>
            <w:col w:w="6760"/>
          </w:cols>
          <w:pgMar w:left="320" w:top="738" w:right="239"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Exchange listing and symbol</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Our common stock is listed on Nasdaq under the symbol “HPK”</w:t>
      </w:r>
    </w:p>
    <w:p>
      <w:pPr>
        <w:spacing w:after="0" w:line="200" w:lineRule="exact"/>
        <w:rPr>
          <w:sz w:val="20"/>
          <w:szCs w:val="20"/>
          <w:color w:val="auto"/>
        </w:rPr>
      </w:pPr>
    </w:p>
    <w:p>
      <w:pPr>
        <w:sectPr>
          <w:pgSz w:w="11900" w:h="16838" w:orient="portrait"/>
          <w:cols w:equalWidth="0" w:num="2">
            <w:col w:w="3860" w:space="720"/>
            <w:col w:w="6760"/>
          </w:cols>
          <w:pgMar w:left="320" w:top="738" w:right="2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Material U.S. federal income tax considerations for non-U.S.The material U.S. federal income tax considerations generally applicable to the purchase,</w:t>
      </w:r>
    </w:p>
    <w:p>
      <w:pPr>
        <w:spacing w:after="0" w:line="27" w:lineRule="exact"/>
        <w:rPr>
          <w:sz w:val="20"/>
          <w:szCs w:val="20"/>
          <w:color w:val="auto"/>
        </w:rPr>
      </w:pPr>
    </w:p>
    <w:p>
      <w:pPr>
        <w:ind w:left="4580" w:right="180" w:hanging="4399"/>
        <w:spacing w:after="0" w:line="252" w:lineRule="auto"/>
        <w:tabs>
          <w:tab w:leader="none" w:pos="4560" w:val="left"/>
        </w:tabs>
        <w:rPr>
          <w:sz w:val="20"/>
          <w:szCs w:val="20"/>
          <w:color w:val="auto"/>
        </w:rPr>
      </w:pPr>
      <w:r>
        <w:rPr>
          <w:rFonts w:ascii="Times New Roman" w:cs="Times New Roman" w:eastAsia="Times New Roman" w:hAnsi="Times New Roman"/>
          <w:sz w:val="18"/>
          <w:szCs w:val="18"/>
          <w:color w:val="auto"/>
        </w:rPr>
        <w:t>holders</w:t>
      </w:r>
      <w:r>
        <w:rPr>
          <w:sz w:val="20"/>
          <w:szCs w:val="20"/>
          <w:color w:val="auto"/>
        </w:rPr>
        <w:tab/>
      </w:r>
      <w:r>
        <w:rPr>
          <w:rFonts w:ascii="Times New Roman" w:cs="Times New Roman" w:eastAsia="Times New Roman" w:hAnsi="Times New Roman"/>
          <w:sz w:val="18"/>
          <w:szCs w:val="18"/>
          <w:color w:val="auto"/>
        </w:rPr>
        <w:t>ownership and disposition of our common stock acquired in this offering by a non-U.S. holder (as defined in “Material U.S. Federal Income Tax Considerations for Non-U.S. Holders”) are described in “Material U.S. Federal Income Tax Considerations for Non-U.S. Holders.” Each non-U.S. holder is urged to consult its own tax advisors regarding the U.S. federal, state and local, and non-U.S. income and other tax consequences to it of purchasing, owning and disposing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Investing in our common stock involves risks. Please read “Risk Factors” on page S-3 of</w:t>
            </w:r>
          </w:p>
        </w:tc>
      </w:tr>
      <w:tr>
        <w:trPr>
          <w:trHeight w:val="216"/>
        </w:trPr>
        <w:tc>
          <w:tcPr>
            <w:tcW w:w="2800" w:type="dxa"/>
            <w:vAlign w:val="bottom"/>
          </w:tcPr>
          <w:p>
            <w:pPr>
              <w:spacing w:after="0"/>
              <w:rPr>
                <w:sz w:val="18"/>
                <w:szCs w:val="18"/>
                <w:color w:val="auto"/>
              </w:rPr>
            </w:pPr>
          </w:p>
        </w:tc>
        <w:tc>
          <w:tcPr>
            <w:tcW w:w="8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this prospectus supplement, page 2 of the accompanying prospectus and in the documents</w:t>
            </w:r>
          </w:p>
        </w:tc>
      </w:tr>
      <w:tr>
        <w:trPr>
          <w:trHeight w:val="216"/>
        </w:trPr>
        <w:tc>
          <w:tcPr>
            <w:tcW w:w="2800" w:type="dxa"/>
            <w:vAlign w:val="bottom"/>
          </w:tcPr>
          <w:p>
            <w:pPr>
              <w:spacing w:after="0"/>
              <w:rPr>
                <w:sz w:val="18"/>
                <w:szCs w:val="18"/>
                <w:color w:val="auto"/>
              </w:rPr>
            </w:pPr>
          </w:p>
        </w:tc>
        <w:tc>
          <w:tcPr>
            <w:tcW w:w="8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that we have incorporated by reference, as well as the other cautionary statements</w:t>
            </w:r>
          </w:p>
        </w:tc>
      </w:tr>
      <w:tr>
        <w:trPr>
          <w:trHeight w:val="216"/>
        </w:trPr>
        <w:tc>
          <w:tcPr>
            <w:tcW w:w="2800" w:type="dxa"/>
            <w:vAlign w:val="bottom"/>
          </w:tcPr>
          <w:p>
            <w:pPr>
              <w:spacing w:after="0"/>
              <w:rPr>
                <w:sz w:val="18"/>
                <w:szCs w:val="18"/>
                <w:color w:val="auto"/>
              </w:rPr>
            </w:pPr>
          </w:p>
        </w:tc>
        <w:tc>
          <w:tcPr>
            <w:tcW w:w="8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throughout this prospectus supplement and the accompanying prospectus, for a discussion</w:t>
            </w:r>
          </w:p>
        </w:tc>
      </w:tr>
      <w:tr>
        <w:trPr>
          <w:trHeight w:val="234"/>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of factors you should carefully consider before deciding to invest in our common stock</w:t>
            </w:r>
          </w:p>
        </w:tc>
      </w:tr>
      <w:tr>
        <w:trPr>
          <w:trHeight w:val="577"/>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5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S-2</w:t>
            </w:r>
          </w:p>
        </w:tc>
      </w:tr>
      <w:tr>
        <w:trPr>
          <w:trHeight w:val="93"/>
        </w:trPr>
        <w:tc>
          <w:tcPr>
            <w:tcW w:w="2800" w:type="dxa"/>
            <w:vAlign w:val="bottom"/>
            <w:tcBorders>
              <w:bottom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340"/>
          </w:cols>
          <w:pgMar w:left="320" w:top="738" w:right="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the risk factors described in reports we file with the SEC and incorporated by reference into the accompanying prospectus, as well as all of the other information in, and incorporated by reference into, this prospectus supplement and the accompanying prospectus, including in our Annual Report on Form 10-K for the year ended December 31, 2025, our Quarterly Report on Form 10-Q for the quarter ended March 31, 2026 and any risk factors that we may describe in our Quarterly Reports on Form 10-Q or Current Reports on Form 8-K filed subsequently to this prospectus supplement. If any of the risks actually occur, our business, financial condition or results of operations could suffer. In that event, you may lose all or part of your investment in the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actual gross proceeds resulting from those sales.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Lead Agent at any time throughout the term of the Sales Agreement. The number of shares that are sold through the Lead Agent after delivering a placement notice will fluctuate based on a number of factors, including the market price of the common stock during the sales period, the limits we set with the Lead Agent in any applicable placement notice, and the demand for our common stock during the sales period. Actual gross proceeds may be less than $150 million, which may impact our future liquidity. Because the price per share of each share sold will fluctuate during the sales period, it is not currently possible to predict the number of shares that will be sold or the actual gross proceeds to be raised in connection with those sales.</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 the market offerings,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investors who buy shares at different times will likely pay different prices.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sales price above par value or maximum sales price for shares to be sold in this offering. Investors may experience a decline in the value of the shares they purchase in this offering as a result of sales made at prices lower than the prices they paid.</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substantial amounts of our common stock, or the possibility that such sales could occur, could adversely affect the market price of our common stock.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certain of our stockholders holding an aggregate of 107,731,359 shares of our common stock (representing 85.3% of our outstanding common stock as of April 8, 2026) are party to a registration rights agreement, pursuant to which we are required to effect the registration of their shares of common stock and provide demand and piggyback rights with respect to offerings in certain circumstances. The registration rights agreement facilitates the resale of this significant amount of our common stock should such stockholders choose to exercise these rights. We cannot predict the size of future sales off shares of our common stock and the impact any such sales will have on the market price of our common stock. Sales of substantial amounts of our common stock by such stockholders, or the perception that such sales could occur, may adversely affect prevailing market prices of our common stock.</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this offering, and uses may not improve our financial condition or market value.</w:t>
      </w:r>
    </w:p>
    <w:p>
      <w:pPr>
        <w:spacing w:after="0" w:line="15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proceeds from this offering will depend upon the number of shares of our common stock sold and the market price at which they are sold.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we will be able to sell any shares under or fully utilize the Sales Agreement with the Agents.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currently plan to use the net proceeds from this offering, after deducting the Agents’ commissions and offering expenses payable by us, for general corporate purposes, which may include, among other things, paying or refinancing all or a portion of our then-outstanding indebtedness.</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the Agents under which we may issue and sell common stock from time to time in an amount up to $150,000,000 through or to the Lead Agent, acting as agent or principal. Sales of our common stock, if any, under this prospectus supplement and the accompanying prospectus will be made at market prices by any method deemed to be an “at the market offering” as defined in Rule 415(a)(4) under the Securities Act.</w:t>
      </w:r>
    </w:p>
    <w:p>
      <w:pPr>
        <w:spacing w:after="0" w:line="180"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Each time that we wish to issue and sell our common stock under the Sales Agreement, we will provide the Lead Agent with a placement notice describing the amount of common stock to be sold, the time period during which sales are requested to be made, any limitation on the amount of common stock that may be sold in any single day, any minimum price below which sales may not be made or any minimum price requested for sales in a given time period and any other instructions relevant to such requested sales.</w:t>
      </w:r>
    </w:p>
    <w:p>
      <w:pPr>
        <w:spacing w:after="0" w:line="180" w:lineRule="exact"/>
        <w:rPr>
          <w:sz w:val="20"/>
          <w:szCs w:val="20"/>
          <w:color w:val="auto"/>
        </w:rPr>
      </w:pPr>
    </w:p>
    <w:p>
      <w:pPr>
        <w:ind w:right="320" w:firstLine="360"/>
        <w:spacing w:after="0" w:line="261" w:lineRule="auto"/>
        <w:rPr>
          <w:sz w:val="20"/>
          <w:szCs w:val="20"/>
          <w:color w:val="auto"/>
        </w:rPr>
      </w:pPr>
      <w:r>
        <w:rPr>
          <w:rFonts w:ascii="Times New Roman" w:cs="Times New Roman" w:eastAsia="Times New Roman" w:hAnsi="Times New Roman"/>
          <w:sz w:val="18"/>
          <w:szCs w:val="18"/>
          <w:color w:val="auto"/>
        </w:rPr>
        <w:t>Upon receipt of a placement notice, the Lead Agent, acting as our sales agent, will use commercially reasonable efforts, consistent with its normal trading and sales practices and applicable state and federal laws, rules and regulations and the rules of the Nasdaq, to sell our common stock under the terms and subject to the conditions of the placement notice and the Sales Agreement. We or the Lead Agent may suspend the offering of common stock pursuant to a placement notice upon notice and subject to other conditions.</w:t>
      </w:r>
    </w:p>
    <w:p>
      <w:pPr>
        <w:spacing w:after="0" w:line="180"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are no arrangements to place any of the proceeds of this offering in an escrow, trust or similar account. Sales of our common stock as contemplated in this prospectus supplement will be settled through the facilities of The Depository Trust Company or by such other means as we and the Lead Agent may agree upon.</w:t>
      </w:r>
    </w:p>
    <w:p>
      <w:pPr>
        <w:spacing w:after="0" w:line="18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We will pay the Lead Agent commissions for its services in acting as our sales agent in the sale of our common stock pursuant to the Sales Agreement. The Lead Agent will be entitled to compensation at a fixed commission rate of up to 3.00% of the gross proceeds from the sale of our common stock on our behalf pursuant to the Sales Agreement. We have agreed to reimburse the Agents for their reasonable and documented out-of-pocket expenses (including but not limited to the reasonable and documented fees and expenses of its legal counsel) in an amount not to exceed $60,000 in connection with entering into the Sales Agreement and for their reasonable and documented out-of-pocket expenses related to quarterly maintenance of the Sales Agreement (including but not limited to the reasonable and documented fees and expenses of its legal counsel) on a quarterly basis in an amount not to exceed $10,000.</w:t>
      </w:r>
    </w:p>
    <w:p>
      <w:pPr>
        <w:spacing w:after="0" w:line="189"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for commencement of this offering, excluding compensation payable to the Lead Agent and certain expenses reimbursable to the Agents under the terms of the Sales Agreement, will be approximately $230,000. 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80"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Because there are no minimum sale requirements as a condition to this offering, the actual total public offering price, commissions and net proceeds to us, if any, are not determinable at this time. The actual dollar amount and shares of our common stock we sell through this prospectus supplement will be dependent, among other things, on market conditions and our capital raising requirements.</w:t>
      </w:r>
    </w:p>
    <w:p>
      <w:pPr>
        <w:spacing w:after="0" w:line="17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the Agents will be deemed to be an “underwriter” within the meaning of the Securities Act, and the compensation will be deemed to be underwriting commissions or discounts. We have agreed to provide indemnification and contribution to the Agents against certain civil liabilities, including liabilities under the Securities Act.</w:t>
      </w:r>
    </w:p>
    <w:p>
      <w:pPr>
        <w:spacing w:after="0" w:line="176"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The Agents and their affiliates may provide various investment banking, commercial banking and other financial services to us and our affiliates, for which services they may in the future receive customary fees. In the course of its business, the Agents may actively trade our securities for their own accounts or for the accounts of customers, and, accordingly, the Agents may at any time hold long or short positions in such securities. The Agents will not engage in any market making activities involving our common stock while the offering is ongoing under this prospectus supplement if such activity would be prohibited under Regulation M or other anti-manipulation rules under the Securities Act. The Agents also will not engage in any transactions that stabilize our common stock.</w:t>
      </w:r>
    </w:p>
    <w:p>
      <w:pPr>
        <w:spacing w:after="0" w:line="18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offering pursuant to the Sales Agreement will terminate upon the earlier of (i) the sale of all of our common stock subject to the Sales Agreement and (ii) termination of the Sales Agreement as permitted therein. We may terminate the Sales Agreement in our sole discretion at any time by giving five days’ prior notice to the Agents. The Agents may terminate the Sales Agreement as to themselves under the circumstances specified in the Sales Agreement and in their sole discretion at any time by giving five days’ prior notice to us.</w:t>
      </w:r>
    </w:p>
    <w:p>
      <w:pPr>
        <w:spacing w:after="0" w:line="180"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a website maintained by the Agents, and the Agents may distribute this prospectus supplement and the accompanying prospectus electronically.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related to the purchase, ownership and disposition of our common stock by a non-U.S. holder (as defined below) that acquired our common stock pursuant to this offering and holds our common stock as a “capital asset” within the meaning of Section 1221 of the Internal Revenue Code of 1986, as amended (the “Code”) (generally, property held for investment). This summary is based on the provisions of the Code, U.S. Treasury regulations promulgated thereunder,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(“IRS”) with respect to the statements made and the positions and conclusions described in the following summary, and there can be no assurance that the IRS or a court will agree with such statements, positions and conclusions.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impact of the Medicare surtax on certain net investment income, U.S. federal estate or gift tax laws, any U.S. state or local or non-U.S. tax laws or any tax treaties. This summary also does not address all U.S. federal income tax considerations that may be relevant to particular non-U.S. holders in light of their personal circumstances or that may be relevant to certain categories of investors that may be subject to special rules, such as:</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(or any entities all of the interests of which are held by a qualified foreign pension fund);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pass-through entities for U.S. federal income tax purposes or holders of interests therein;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employee stock options or otherwise as compensation or through a tax-qualified retirement plan;</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appreciated financial position, synthetic security, hedge, conversion transaction or other integrated investment or risk reduction transaction;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4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b w:val="1"/>
          <w:bCs w:val="1"/>
          <w:color w:val="auto"/>
        </w:rPr>
        <w:t>PROSPECTIVE INVESTORS SHOULD CONSULT WITH THEIR OWN TAX ADVISORS WITH RESPECT TO THE APPLICATION OF THE U.S. FEDERAL INCOME TAX LAWS (INCLUDING ANY POTENTIAL FUTURE CHANGES THERETO) TO THEIR PARTICULAR SITUATION, AS WELL AS ANY TAX CONSEQUENCES OF THE PURCHASE, OWNERSHIP AND DISPOSITION OF OUR COMMON STOCK ARISING UNDER ANY OTHER TAX LAWS, INCLUDING U.S. FEDERAL ESTATE OR GIFT TAX LAWS OR UNDER THE LAWS OF ANY U.S. STATE OR LOCAL OR NON-U.S. TAXING JURISDICTION, OR UNDER ANY APPLICABLE INCOME TAX TREATY.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is not for U.S. federal income tax purposes a partnership or any of the following:</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which has made a valid election under applicable U.S. Treasury regulations to be treated as a United States person.</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tax treatment of a partner in the partnership generally will depend upon the status of the partner, the activities of the partnership and certain determinations made at the partner level. Accordingly, we urge partners in partnerships (including entities or arrangements treated as partnerships for U.S. federal income tax purposes) considering the purchase of our common stock to consult with their own tax advisors regarding the U.S. federal income tax considerations of the purchase, ownership and disposition of our common stock by such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of cash or other property on our common stock, if any,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Sale or Other Taxable Disposition of Common Stock.” Subject to the withholding requirements under FATCA (as defined below) and with respect to effectively connected dividends, each of which is discussed below,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Common Stock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 non-U.S. holder generally will not be subject to U.S. federal income or withholding tax on any gain realized upon the sale or other taxable disposition of our common stock unless:</w:t>
      </w:r>
    </w:p>
    <w:p>
      <w:pPr>
        <w:spacing w:after="0" w:line="162" w:lineRule="exact"/>
        <w:rPr>
          <w:sz w:val="20"/>
          <w:szCs w:val="20"/>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certain U.S. source capital losses provided the non-U.S. holder has timely filed U.S. federal income tax returns with respect to such losses.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common stock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United States real property interest and will be taxable on gain realized on the disposition of our common stock as a result of our status as a USRPHC. If our common stock were not considered to be regularly traded on an established securities market, each non-U.S. holder (regardless of the percentage of stock owned) would be treated as disposing of a United States real property interest and would be subject to U.S. federal income tax on a taxable disposition of our common stock (as described in the preceding paragraph), and a 15% withholding tax would apply to the gross proceeds from such disposition.</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Non-U.S. holders should consult with their own tax advisors with respect to the application of the foregoing rules to their ownership and disposition of our common stock, including regarding potentially applicable income tax treaties that may provide for different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Any distributions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common stock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9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“withholdable payments” (as defined in the Code), including dividends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common stock,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with their own tax advisors regarding the effects of FATCA on an investment in our common stock.</w:t>
      </w:r>
    </w:p>
    <w:p>
      <w:pPr>
        <w:spacing w:after="0" w:line="19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WITH THEIR OWN TAX ADVISORS REGARDING THE APPLICATION OF THE U.S. FEDERAL INCOME TAX LAWS (INCLUDING ANY POTENTIAL FUTURE CHANGES THERETO) TO THEIR PARTICULAR SITUATIONS AND THE APPLICABILITY AND EFFECT OF ANY OTHER TAX LAWS, INCLUDING U.S. FEDERAL ESTATE AND GIFT TAX LAWS AND ANY U.S. STATE OR LOCAL OR NON-U.S. TAX LAWS, AND TAX TREATIES.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Vinson &amp; Elkins L.L.P., Houston, Texas, will issue opinions about the validity of the common stock and various legal matters in connection with the offering on our behalf. Certain legal matters in connection with the common stock offered hereby will be passed upon for the Agents by Porter Hedges LLP.</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 incorporated by reference in this prospectus supplement to the Company’s Annual Report on Form 10-K for the year ended December 31, 2025, and the effectiveness of the Company’s internal control over financial reporting have been audited by Weaver and Tidwell, L.L.P., an independent registered public accounting firm, as stated in their reports. Such financial statements have been so incorporated by reference in reliance upon the reports of such firm given upon their authority as experts in accounting and auditing.</w:t>
      </w:r>
    </w:p>
    <w:p>
      <w:pPr>
        <w:spacing w:after="0" w:line="180"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estimates of the oil and gas reserves for HighPeak Energy, Inc. and subsidiaries and related future net cash flows and the present values thereof incorporated by reference into this prospectus supplement from the Company’s </w:t>
      </w:r>
      <w:hyperlink r:id="rId29">
        <w:r>
          <w:rPr>
            <w:rFonts w:ascii="Times New Roman" w:cs="Times New Roman" w:eastAsia="Times New Roman" w:hAnsi="Times New Roman"/>
            <w:sz w:val="18"/>
            <w:szCs w:val="18"/>
            <w:u w:val="single" w:color="auto"/>
            <w:color w:val="0000EE"/>
          </w:rPr>
          <w:t>Annual Report on 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were based in part upon engineering reports prepared by Cawley, Gillespie and Associates, Inc., an independent petroleum engineering firm. These estimates are included and incorporated herein in reliance on the authority of such firms as experts in such matters.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that registers the offer and sale of the securities covered by this prospectus supplement. The registration statement, including the exhibits attached thereto and incorporated by reference therein, contains additional relevant information about us. In addition, we file annual, quarterly and other reports and other information with the SEC. The SEC maintains a website that contains reports, proxy and information statements and other information regarding issuers that file electronically with the SEC. Our SEC filings are available on the SEC’s website at www.sec.gov.</w:t>
      </w:r>
    </w:p>
    <w:p>
      <w:pPr>
        <w:spacing w:after="0" w:line="18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http://ir.highpeakenergy.com, our filings with the SEC pursuant to Section 13(a) or 15(d) of the Exchange Act as soon as reasonably practicable after we electronically file such material with, or furnish it to, the SEC. We make our website content available for information purposes only. Information contained on our website is not incorporated by reference into this prospectus supplement and does not constitute a part of this prospectus supplement.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supplement by referring you to other documents filed separately with the SEC. The information incorporated by reference is an important part of this prospectus supplement. Information that we later provide to the SEC, and which is deemed to be “filed” with the SEC, will automatically update information previously filed with the SEC, and may update or replace information in this prospectus supplement and information previously filed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 and any future filings we make with the SEC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13(a), 13(c), 14, or 15(d) of Exchange Act (excluding information deemed to be furnished and not filed with the SEC):</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9">
        <w:r>
          <w:rPr>
            <w:rFonts w:ascii="Times New Roman" w:cs="Times New Roman" w:eastAsia="Times New Roman" w:hAnsi="Times New Roman"/>
            <w:sz w:val="18"/>
            <w:szCs w:val="18"/>
            <w:u w:val="single" w:color="auto"/>
            <w:color w:val="0000EE"/>
          </w:rPr>
          <w:t>Annual Report on Form 10-K for the year ended December 31, 2025</w:t>
        </w:r>
      </w:hyperlink>
      <w:r>
        <w:rPr>
          <w:rFonts w:ascii="Times New Roman" w:cs="Times New Roman" w:eastAsia="Times New Roman" w:hAnsi="Times New Roman"/>
          <w:sz w:val="18"/>
          <w:szCs w:val="18"/>
          <w:color w:val="auto"/>
        </w:rPr>
        <w:t>, filed with the SEC on March 11, 2026;</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the </w:t>
      </w:r>
      <w:hyperlink r:id="rId30">
        <w:r>
          <w:rPr>
            <w:rFonts w:ascii="Times New Roman" w:cs="Times New Roman" w:eastAsia="Times New Roman" w:hAnsi="Times New Roman"/>
            <w:sz w:val="18"/>
            <w:szCs w:val="18"/>
            <w:u w:val="single" w:color="auto"/>
            <w:color w:val="0000EE"/>
          </w:rPr>
          <w:t>Definitive Proxy Statement on Schedule 14A, filed with the SEC on April 30, 2026</w:t>
        </w:r>
      </w:hyperlink>
      <w:r>
        <w:rPr>
          <w:rFonts w:ascii="Times New Roman" w:cs="Times New Roman" w:eastAsia="Times New Roman" w:hAnsi="Times New Roman"/>
          <w:sz w:val="18"/>
          <w:szCs w:val="18"/>
          <w:color w:val="auto"/>
        </w:rPr>
        <w:t xml:space="preserve">, that are incorporated by reference into Part III of our </w:t>
      </w:r>
      <w:hyperlink r:id="rId29">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filed with the SEC on March 11, 2026;</w:t>
      </w:r>
    </w:p>
    <w:p>
      <w:pPr>
        <w:spacing w:after="0" w:line="162"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5" w:name="page16"/>
    <w:bookmarkEnd w:id="15"/>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2">
        <w:r>
          <w:rPr>
            <w:rFonts w:ascii="Times New Roman" w:cs="Times New Roman" w:eastAsia="Times New Roman" w:hAnsi="Times New Roman"/>
            <w:sz w:val="18"/>
            <w:szCs w:val="18"/>
            <w:u w:val="single" w:color="auto"/>
            <w:color w:val="0000EE"/>
          </w:rPr>
          <w:t>Quarterly Report on Form 10-Q for the quarter ended March 31, 2026</w:t>
        </w:r>
      </w:hyperlink>
      <w:r>
        <w:rPr>
          <w:rFonts w:ascii="Times New Roman" w:cs="Times New Roman" w:eastAsia="Times New Roman" w:hAnsi="Times New Roman"/>
          <w:sz w:val="18"/>
          <w:szCs w:val="18"/>
          <w:color w:val="auto"/>
        </w:rPr>
        <w:t>, filed with the SEC on May 6,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May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4">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35">
        <w:r>
          <w:rPr>
            <w:rFonts w:ascii="Times New Roman" w:cs="Times New Roman" w:eastAsia="Times New Roman" w:hAnsi="Times New Roman"/>
            <w:sz w:val="18"/>
            <w:szCs w:val="18"/>
            <w:u w:val="single" w:color="auto"/>
            <w:color w:val="0000EE"/>
          </w:rPr>
          <w:t>registration statement on 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19, 2020, as amended by Amendment No. 1 on </w:t>
      </w:r>
      <w:hyperlink r:id="rId36">
        <w:r>
          <w:rPr>
            <w:rFonts w:ascii="Times New Roman" w:cs="Times New Roman" w:eastAsia="Times New Roman" w:hAnsi="Times New Roman"/>
            <w:sz w:val="18"/>
            <w:szCs w:val="18"/>
            <w:u w:val="single" w:color="auto"/>
            <w:color w:val="0000EE"/>
          </w:rPr>
          <w:t>Form 8-A12B/A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20, 2020, including any amendments or reports that we may file in the future for the purpose of updating such descriptions.</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These reports contain important information about us, our financial condition and our results of operations.</w:t>
      </w:r>
    </w:p>
    <w:p>
      <w:pPr>
        <w:spacing w:after="0" w:line="225" w:lineRule="exact"/>
        <w:rPr>
          <w:rFonts w:ascii="Times New Roman" w:cs="Times New Roman" w:eastAsia="Times New Roman" w:hAnsi="Times New Roman"/>
          <w:sz w:val="18"/>
          <w:szCs w:val="18"/>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 documents incorporated by reference in this prospectus supplement from the SEC through the SEC’s website at the address provided above. You also may request a copy of the registration statement and any document incorporated by reference in this prospectus supplement (including exhibits to those documents specifically incorporated by reference in this prospectus supplement), at no cost, by contacting us at:</w:t>
      </w:r>
    </w:p>
    <w:p>
      <w:pPr>
        <w:spacing w:after="0" w:line="172"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Attention: Investor Relations</w:t>
      </w:r>
    </w:p>
    <w:p>
      <w:pPr>
        <w:jc w:val="center"/>
        <w:ind w:right="-79"/>
        <w:spacing w:after="0" w:line="181" w:lineRule="auto"/>
        <w:rPr>
          <w:sz w:val="20"/>
          <w:szCs w:val="20"/>
          <w:color w:val="auto"/>
        </w:rPr>
      </w:pPr>
      <w:r>
        <w:rPr>
          <w:rFonts w:ascii="Times New Roman" w:cs="Times New Roman" w:eastAsia="Times New Roman" w:hAnsi="Times New Roman"/>
          <w:sz w:val="16"/>
          <w:szCs w:val="16"/>
          <w:b w:val="1"/>
          <w:bCs w:val="1"/>
          <w:color w:val="auto"/>
        </w:rPr>
        <w:t>421 W. 3</w:t>
      </w:r>
      <w:r>
        <w:rPr>
          <w:rFonts w:ascii="Times New Roman" w:cs="Times New Roman" w:eastAsia="Times New Roman" w:hAnsi="Times New Roman"/>
          <w:sz w:val="26"/>
          <w:szCs w:val="26"/>
          <w:b w:val="1"/>
          <w:bCs w:val="1"/>
          <w:color w:val="auto"/>
          <w:vertAlign w:val="superscript"/>
        </w:rPr>
        <w:t>rd</w:t>
      </w:r>
      <w:r>
        <w:rPr>
          <w:rFonts w:ascii="Times New Roman" w:cs="Times New Roman" w:eastAsia="Times New Roman" w:hAnsi="Times New Roman"/>
          <w:sz w:val="16"/>
          <w:szCs w:val="16"/>
          <w:b w:val="1"/>
          <w:bCs w:val="1"/>
          <w:color w:val="auto"/>
        </w:rPr>
        <w:t xml:space="preserve"> St., Suite 1000</w:t>
      </w:r>
    </w:p>
    <w:p>
      <w:pPr>
        <w:spacing w:after="0" w:line="1"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7"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207"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19685</wp:posOffset>
            </wp:positionV>
            <wp:extent cx="3111500" cy="779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1115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shares of our common stock, par value $0.0001 per share (“common stock”). The aggregate initial offering price of all shares of common stock sold by us under this prospectus will not exceed $300,000,000.</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from time to time in amounts, at prices and on terms to be determined by market conditions and other factors at the time of our offerings. This prospectus provides you with a general description of these securities and the general manner in which we will offer the securities. Each time securities are offered, we will provide a prospectus supplement that will contain specific information about the terms of that offering. Any prospectus supplement may also add, update or change information contained in this prospectus.</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(the “Nasdaq”) under the symbol “HPK.” On October 30,2025 closing price of our common stock was $6.36.</w:t>
      </w:r>
    </w:p>
    <w:p>
      <w:pPr>
        <w:spacing w:after="0" w:line="158"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are 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that term is used in the Jumpstart Our Business Startups Act of 2012, and, as such, have elected to avail ourselves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283845</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You should read carefully this prospectus, the documents incorporated by reference in this prospectus and any prospectus supplement before you invest.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beginning on page 5 of this prospectus for information on certain risks related to the purchase of our securities.</w:t>
      </w:r>
    </w:p>
    <w:p>
      <w:pPr>
        <w:spacing w:after="0" w:line="13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or to or through underwriters or dealers, and also to other purchasers or through agents. The names of any underwriters or agents that are included in a sale of securities to you, and any applicable commissions or discounts, will be stated in any accompanying prospectus supplement. In addition, the underwriters, if any, may over-allot a portion of the securities.</w:t>
      </w:r>
    </w:p>
    <w:p>
      <w:pPr>
        <w:spacing w:after="0" w:line="172"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Neither the U.S.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283845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74"/>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720" w:type="dxa"/>
            <w:vAlign w:val="bottom"/>
          </w:tcPr>
          <w:p>
            <w:pPr>
              <w:spacing w:after="0"/>
              <w:rPr>
                <w:sz w:val="24"/>
                <w:szCs w:val="24"/>
                <w:color w:val="auto"/>
              </w:rPr>
            </w:pPr>
          </w:p>
        </w:tc>
        <w:tc>
          <w:tcPr>
            <w:tcW w:w="2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8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DOCUMENTS INCORPORATED BY REFERENCE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HIGHPEAK ENERGY, INC.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a “shelf” registration process. Under this shelf registration process, we may offer and sell from time to time the securities described in this prospectus in one or more offerings. This prospectus provides you with a general description of the securities that are registered hereunder that may be offered by us. Each time we offer the securities, we will provide you with a prospectus supplement that will describe, among other things, the specific amounts and prices of the securities being offered and the terms of the offering.</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Any prospectus supplement may add, update, or change information contained in this prospectus. Any statement that we make in this prospectus will be modified or superseded by any inconsistent statement made by us in any prospectus supplement. The information in this prospectus is accurate as of its date. Additional information, including our financial statements and the notes thereto, is incorporated in this prospectus by reference to our reports filed with the SEC. Therefore, before you invest in our securities, you should carefully read this prospectus and any prospectus supplement relating to the securities offered to you together with the additional information incorporated by reference in this prospectus and any prospectus supplement (including the documents described under the heading “Where You Can Find More Information” and “Documents Incorporated by Reference” in both this prospectus and any prospectus supplement).</w:t>
      </w:r>
    </w:p>
    <w:p>
      <w:pPr>
        <w:spacing w:after="0" w:line="185"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or any prospectus supplement. We have not authorized any other person to provide you with different information. If anyone provides you with different or inconsistent information, you should not rely on it. Neither we nor anyone acting on our behalf is making an offer to sell these securities in any jurisdiction where the offer or sale is not permitted. You should not assume that the information incorporated by reference or provided in this prospectus or any prospectus supplement is accurate as of any date other than the date on the front of those documents.</w:t>
      </w:r>
    </w:p>
    <w:p>
      <w:pPr>
        <w:spacing w:after="0" w:line="18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throughout this prospectus and any applicable prospectus supplement, the words “we,” “us,” the “registrant,” “the Company,” or “HighPeak Energy” refer to HighPeak Energy, Inc.; and the term “securities” refers to the shares of our common stock registered hereunder.</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 w:name="page20"/>
    <w:bookmarkEnd w:id="1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filed a registration statement with the SEC under the Securities Act of 1933, as amended (the “Securities Act”), that registers the offer and sale of the securities covered by this prospectus. The registration statement, including the exhibits attached thereto and incorporated by reference therein, contains additional relevant information about us. In addition, we file annual, quarterly and other reports and other information with the SEC. The SEC maintains a website that contains reports, proxy and information statements and other information regarding issuers that file electronically with the SEC. Our SEC filings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website,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our filings with the SEC pursuant to Section 13(a) or 15(d) of the Securities Exchange Act of 1934, as amended (the “Exchange Act”) as soon as reasonably practicable after we electronically file such material with, or furnish it to, the SEC. We make our website content available for information purposes only. Information contained on our website is not incorporated by reference into this prospectus and does not constitute a part of this prospectus.</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will automatically update information previously filed with the SEC, and may update or replace information in this prospectus and information previously filed with the SEC.</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filings we make with the SEC under Sections 13(a), 13(c), 14, or 15(d) of the Exchange Act (excluding information deemed to be furnished and not filed with the SEC), after the date on which the registration statement was initially filed with the SEC (including all such documents that we may file with the SEC after the date the registration statement was initially filed and prior to the effectiveness of the registration statement) until all offerings under the registration statement of which this prospectus forms a part are completed or terminated:</w:t>
      </w:r>
    </w:p>
    <w:p>
      <w:pPr>
        <w:spacing w:after="0" w:line="183"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5">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on March 10, 2025, including those portions of our definitive proxy statement on </w:t>
      </w:r>
      <w:hyperlink r:id="rId4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16, 2025, incorporated by reference therein;</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47">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on May 12, 2025 and August 11, 2025,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49">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August 4,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September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35">
        <w:r>
          <w:rPr>
            <w:rFonts w:ascii="Times New Roman" w:cs="Times New Roman" w:eastAsia="Times New Roman" w:hAnsi="Times New Roman"/>
            <w:sz w:val="18"/>
            <w:szCs w:val="18"/>
            <w:u w:val="single" w:color="auto"/>
            <w:color w:val="0000EE"/>
          </w:rPr>
          <w:t>Registration Statement on 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19, 2020, as amended by the Amendment No. 1 on </w:t>
      </w:r>
      <w:hyperlink r:id="rId36">
        <w:r>
          <w:rPr>
            <w:rFonts w:ascii="Times New Roman" w:cs="Times New Roman" w:eastAsia="Times New Roman" w:hAnsi="Times New Roman"/>
            <w:sz w:val="18"/>
            <w:szCs w:val="18"/>
            <w:u w:val="single" w:color="auto"/>
            <w:color w:val="0000EE"/>
          </w:rPr>
          <w:t>Form 8-A12B/A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20, 2020, including any amendments or reports that we may file in the future for the purpose of updating such description.</w:t>
      </w:r>
    </w:p>
    <w:p>
      <w:pPr>
        <w:spacing w:after="0" w:line="176"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reports contain important information about us, our financial condition and our results of operations.</w:t>
      </w:r>
    </w:p>
    <w:p>
      <w:pPr>
        <w:spacing w:after="0" w:line="225" w:lineRule="exact"/>
        <w:rPr>
          <w:rFonts w:ascii="Times New Roman" w:cs="Times New Roman" w:eastAsia="Times New Roman" w:hAnsi="Times New Roman"/>
          <w:sz w:val="18"/>
          <w:szCs w:val="18"/>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prospectus), at no cost, by contacting us at:</w:t>
      </w:r>
    </w:p>
    <w:p>
      <w:pPr>
        <w:spacing w:after="0" w:line="172"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421 W. 3rd Street, Suite 1000</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 Worth, Texas 76012</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850-9200</w:t>
      </w:r>
    </w:p>
    <w:p>
      <w:pPr>
        <w:spacing w:after="0" w:line="206" w:lineRule="exact"/>
        <w:rPr>
          <w:rFonts w:ascii="Times New Roman" w:cs="Times New Roman" w:eastAsia="Times New Roman" w:hAnsi="Times New Roman"/>
          <w:sz w:val="18"/>
          <w:szCs w:val="18"/>
          <w:b w:val="1"/>
          <w:bCs w:val="1"/>
          <w:color w:val="auto"/>
        </w:rPr>
      </w:pPr>
    </w:p>
    <w:p>
      <w:pPr>
        <w:ind w:left="5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information in this prospectus includes “forward-looking statements” within the meaning of Section 27A of the Securities Act, and Section 21E of the Exchange Act. All statements other than statements of historical facts included or incorporated by reference in this prospectus, including, without limitation, statements regarding HighPeak Energy’s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management’s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regarding the following factors.</w:t>
      </w:r>
    </w:p>
    <w:p>
      <w:pPr>
        <w:spacing w:after="0" w:line="19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HighPeak Energy cautions you that forward-looking statements regarding HighPeak Energy, which are contained in this prospectus, are also subject to the following factors:</w:t>
      </w:r>
    </w:p>
    <w:p>
      <w:pPr>
        <w:spacing w:after="0" w:line="162" w:lineRule="exact"/>
        <w:rPr>
          <w:sz w:val="20"/>
          <w:szCs w:val="20"/>
          <w:color w:val="auto"/>
        </w:rPr>
      </w:pPr>
    </w:p>
    <w:p>
      <w:pPr>
        <w:ind w:left="660" w:right="5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the impacts of associated monetary policy responses, including increased or decreased interest rates and resulting pressures on economic growth, U.S. trade policy and the imposition of and changes to tariffs;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wars between Russia and Ukraine and the Israel-Hamas conflict;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public health concerns and the impact of continued actions taken by governmental authorities and other third parties in response to a pandemic and their impact on commodity prices, supply and demand considerations, and storage capacity;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25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or OPEC+ and agreements to set and maintain production levels;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and our ability to access such markets on attractive terms or at all, and related risks such as general credit, liquidity, market and interest-rate risks;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process.</w:t>
      </w:r>
    </w:p>
    <w:p>
      <w:pPr>
        <w:spacing w:after="0" w:line="25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herein and in HighPeak Energy’s periodic filings with the SEC. HighPeak Energy’s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HIGHPEAK ENERGY, INC.</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June 30, 2025, the assets consisted of two highly contiguous leasehold positions of approximately 154,858 gross (143,826 net) acres, approximately 68% of which were held by production, with an average working interest of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six months ended June 30, 2025, approximately 86% and 14% of sales volumes from the assets were attributable to liquids (both crude oil and NGL) and natural gas, respectively. As of June 30, 2025, HighPeak Energy was developing its properties using one (1) drilling rig and one (1) frac crew and expects to average one to two (1-2) drilling rigs and approximately one (1) frac crew during the remainder of 2025 under our current development plan.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421 W 3rd Street, Suite 1000, Fort Worth, Texas 76102, and our telephone number is (817) 850-9200.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The information on our website is not part of this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enacted in April 2012. As a result, we may take advantage of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reducing executive compensation disclosures.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to occur of (1) the last day of the fiscal year (a) following the fifth anniversary of the completion of our business combination, which was August 21, 2025, (b) in which we have total annual gross revenue of at least $1.235 billion, or (c) in which we are deemed to be a “large accelerated filer” under the rules of the SEC, which means the market value of our common stock that is held by non-affiliates exceeds $700 million as of the prior July 31st and (2) the date on which we have issued more than $1.0 billion in non-convertible debt during the prior three-year period.</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Additionally, we are subject to an extended transition period for complying with new or revised accounting standards. As a result, the information that we provide to our stockholders may be different than what you might receive from other public reporting companies in which you hold equity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Note Regarding Forward-Looking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specified in an accompanying prospectus supplement, we will use the net proceeds we receive from the sale of the securities covered by this prospectus for general corporate purposes, which may include, among other things, paying or refinancing all or a portion of our indebtedness at the time, and funding acquisitions, capital expenditures and working capital.</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actual application of the net proceeds from the sale of any particular offering of securities using this prospectus will be described in the applicable prospectus supplement relating to such offering.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description of our common stock is not complete and may not contain all the information you should consider before investing in our common stock. This description is a summary of certain provisions contained in, and is qualified in its entirety by reference to, our second amended and restated certificate of incorporation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A&amp;R Charter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amended and restated bylaws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A&amp;R Charter authorizes the issuance of 600,000,000 shares of our common stock and 10,000,000 shares of preferred stock, par value $0.0001 per share. The outstanding shares of our common stock are duly authorized, validly issued, fully paid and non-assessable. Common stockholders of record are entitled to one vote for each share held on all matters to be voted on by stockholders. As of the date of this prospectus there were 125,587,093 shares of our common stock issued and outstanding.</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Please see our Registration Statement on Form 8-A12B (File No. 001-39464) filed August 19, 2020, as amended by Amendment No. 1 on Form 8-A12B/A filed on August 20, 2020, including any amendments or reports that we may file in the future for the purpose of updating such description, which is incorporated by reference herein, for a description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Transfer Agent for HighPeak Energy’s common stock is Continental Stock Transfer &amp; Trust Company (“Continental”). HighPeak Energy has agreed to indemnify Continental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A&amp;R Charter and Bylaws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HighPeak Energy is subject to the provisions of Section 203 of the Delaware General Corporation Law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HighPeak Energy’s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HighPeak Energy’s assets. However, the above provisions of Section 203 do not apply if:</w:t>
      </w:r>
    </w:p>
    <w:p>
      <w:pPr>
        <w:spacing w:after="0" w:line="162" w:lineRule="exact"/>
        <w:rPr>
          <w:sz w:val="20"/>
          <w:szCs w:val="20"/>
          <w:color w:val="auto"/>
        </w:rPr>
      </w:pPr>
    </w:p>
    <w:p>
      <w:pPr>
        <w:ind w:left="660" w:right="1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HighPeak Energy (the “Board”) approves the transaction that made the stockholder an “interested stockholder,” prior to the date of the transaction;</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HighPeak Energy’s voting stock outstanding at the time the transaction commenced, other than statutorily excluded shares of voting common stock; or</w:t>
      </w:r>
    </w:p>
    <w:p>
      <w:pPr>
        <w:spacing w:after="0" w:line="1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 meeting of HighPeak Energy’s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HighPeak Energy’s authorized but unissued voting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voting common stock and preferred stock could render more difficult or discourage an attempt to obtain control of HighPeak Energy by means of a proxy contest, tender offer, merger or otherwise.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Written Consent by Stockholders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HighPeak Energy’s A&amp;R Charter provides that prior to the first date in which HighPeak Pure Acquisition, LLC (“Sponsor”), HighPeak Energy Partners, LP, HighPeak Energy Partners II, LP and each of their respective affiliates and certain permitted transferees (collectively, the “HighPeak Group”) no longer collectively beneficially owns more than 50% of the outstanding HighPeak Energy voting securities, HighPeak Energy stockholders may take action by written consent of the holders of not less than the minimum number of votes that would be necessary to authorize or take such action at a meeting at which all shares entitled to vote thereon were present and voted. Before such time, any action required or permitted to be taken by HighPeak Energy’s stockholders that is approved in advance by the Board may be effected without a meeting, without prior notice and without a vote of stockholders, if a consent or consents in writing, setting forth the action so taken, is or are signed by the holders of outstanding stock having not less than the minimum number of votes that would be necessary to authorize or take such action at a meeting at which all shares entitled to vote thereon were present and voted. If any such action by written consent is taken then HighPeak Energy will notify its stockholders of the same.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Bylaws provide that special meetings of its stockholders may be called only by a majority vote of the entire Board, by HighPeak Energy’s President or by HighPeak Energy’s Chairman.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Bylaws provide that stockholders seeking to bring business before HighPeak Energy’s annual meeting of stockholders, or to nominate candidates for election as directors at HighPeak Energy’s annual meeting of stockholders, must provide timely notice of their intent in writing. To be timely, a stockholder’s notice will need to be received by the Company’s secretary at HighPeak Energy’s principal executive offices not later than the close of business on the ninetieth (90th) day nor earlier than the close of business on the one hundred twentieth (120th) day prior to the anniversary date of the immediately preceding annual meeting of stockholders. Pursuant to Rule 14a-8 of the Exchange Act, proposals seeking inclusion in HighPeak Energy’s Annual Proxy Statement must comply with the notice periods contained therein. The Bylaws also specify certain requirements as to the form and content of a stockholders’ meeting. These provisions may preclude HighPeak Energy’s stockholders from bringing matters before HighPeak Energy’s annual meeting of stockholders or from making nominations for directors at HighPeak Energy’s annual meeting of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A&amp;R Charter provides that a stockholder bringing a claim subject to Article 8 of the A&amp;R Charter will be required to bring that claim in the Court of Chancery in the State of Delaware, subject to the Court of Chancery in the State of Delaware having personal jurisdiction over the defendants. The forum selection provision is not intended to apply to claims arising under the Securities Act or the Exchange Act. To the extent the provision could be constructed to apply to such claims, there is uncertainty as to whether a court would enforce such provision in connection with such claims. The A&amp;R Charter also provides that any person or entity purchasing or otherwise acquiring any interest in shares of our capital stock will be deemed to have notice of, and to have consented to, the provisions of Article 8 of the A&amp;R Charter. Stockholders will not be deemed, by operation of Article 8 of the A&amp;R Charter alone, to have waived claims arising under the federal securities laws and the rules and regulations promulgated thereunder.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w:t>
      </w:r>
    </w:p>
    <w:p>
      <w:pPr>
        <w:spacing w:after="0" w:line="19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HighPeak Energy’s voting common stock for at least six months would be entitled to sell their securities provided that (i) such person is not deemed to have been one of HighPeak Energy’s affiliates at the time of, or at any time during the three months preceding, a sale and (ii) HighPeak Energy is subject to the Exchange Act periodic reporting requirements for at least three months before the sale and has filed all required reports under Section 13 or 15(d) of the Exchange Act during the twelve months (or such shorter period as HighPeak Energy was required to file reports) preceding the sale.</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HighPeak Energy’s voting common stock for at least six months but who are HighPeak Energy’s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such securities then-outstanding; or</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such securities during the four calendar weeks preceding the filing of a notice on Form 144 with respect to the sale.</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Sales by HighPeak Energy’s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twelve months (or such shorter period that the issuer was required to file such reports and materials), other than Current Reports on Form 8-K;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HighPeak Energy’s common stock is listed for trading on the Nasdaq under the symbol “HPK.”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offered by this prospectus in any one or more of the following ways from time to time: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initial purchasers, brokers,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investors or the public;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 or other purchasers;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described in the applicable prospectus supplement.</w:t>
      </w:r>
    </w:p>
    <w:p>
      <w:pPr>
        <w:spacing w:after="0" w:line="22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(whether or not for over-allotments) under which the underwriters may purchase additional shares of common stock from us;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or agency fees and other items constituting compensation to underwriters, dealers, or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by underwriters or dealers to other dealers;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directly in transactions not involving underwriters, dealers, or agents.</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may use underwriters with whom we have a material relationship. We will describe the nature of such relationship in the applicable prospectus supplement.</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in this prospectus will be passed upon for us by Vinson &amp; Elkins L.L.P., Houston, Texas.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balance sheet of HighPeak Energy, Inc. as of December 31, 2024 and the related consolidated statements of operations, changes in stockholders’ equity, and cash flows for each of the three years in the period ended December 31, 2024 incorporated by reference in this prospectus have been audited by Weaver and Tidwell, L.L.P., independent registered public accounting firm, as stated in their report appearing herein and is included upon reliance of the report of such firm given upon their authority as experts in accounting and auditing.</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herein regarding estimated quantities of proved reserves of the Company, the future net revenues from those reserves and their present value as of December 31, 2024 and December 31, 2023, are based on the proved reserves report prepared by Cawley, Gillespie &amp; Associates, Inc. These estimates are included herein in reliance upon the authority of such firm as an expert in these matters.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19685</wp:posOffset>
            </wp:positionV>
            <wp:extent cx="3111500" cy="780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311150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108,764,359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securities to be offered using this combined prospectus include the resale of up to 108,764,359 shares of our common stock, par value $0.001 per share (“common stock”) by the selling stockholders named herein.</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this prospectus, the selling securityholders are permitted to offer the securities from time to time, if and to the extent as they may determine, through public or private transactions or through other means described in the section of this prospectus entitled “Plan of Distribution” at prevailing market prices, at prices different than prevailing market prices or at privately negotiated prices. The selling securityholders may sell shares through agents they select or through underwriters and dealers they select. The selling securityholders also may sell their securities directly to investors. If the selling securityholders use agents, underwriters or dealers to sell their shares, we will name such agents, underwriters or dealers and describe any applicable commissions or discounts in a supplement to this prospectus if required.</w:t>
      </w:r>
    </w:p>
    <w:p>
      <w:pPr>
        <w:spacing w:after="0" w:line="187"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offer and sale of 29,057,783 shares of common stock pursuant to the registration rights afforded pursuant to the Forward Purchase Agreement. We are further registering the offer and sale of 79,706,576 shares of common stock pursuant to the registration rights afforded pursuant to that certain Registration Rights Agreement, dated as of August 21, 2020 (the “Registration Rights Agreement”) by and among the Company, Sponsor, HighPeak I, HighPeak II and certain other security holders named therein. We have agreed to bear all expenses incurred in connection with the registration of these securities. The selling securityholders will pay or assume underwriting fees, discounts and commissions or similar charges, if any, incurred in the sale of these securities.</w:t>
      </w:r>
    </w:p>
    <w:p>
      <w:pPr>
        <w:spacing w:after="0" w:line="187"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securityholders identified in this prospectus are offering all of the common stock included under this prospectus (as applicable to each selling securityholder) in the section entitled “Selling Securityholders.” We will not receive any proceeds from the sale of these securities by the selling securityholders.</w:t>
      </w:r>
    </w:p>
    <w:p>
      <w:pPr>
        <w:spacing w:after="0" w:line="176" w:lineRule="exact"/>
        <w:rPr>
          <w:sz w:val="20"/>
          <w:szCs w:val="20"/>
          <w:color w:val="auto"/>
        </w:rPr>
      </w:pPr>
    </w:p>
    <w:p>
      <w:pPr>
        <w:jc w:val="both"/>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(the “Nasdaq”) under the symbol “HPK”. On October 30, 2025, the closing price of our common stock was $6.36.</w:t>
      </w:r>
    </w:p>
    <w:p>
      <w:pPr>
        <w:spacing w:after="0" w:line="158"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are 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that term is used in the Jumpstart Our Business Startups Act of 2012, and, as such, have elected to avail ourselves of certain reduced public company reporting requirements for this prospectus and future filings.</w:t>
      </w:r>
    </w:p>
    <w:p>
      <w:pPr>
        <w:spacing w:after="0" w:line="200" w:lineRule="exact"/>
        <w:rPr>
          <w:sz w:val="20"/>
          <w:szCs w:val="20"/>
          <w:color w:val="auto"/>
        </w:rPr>
      </w:pPr>
    </w:p>
    <w:p>
      <w:pPr>
        <w:spacing w:after="0" w:line="387" w:lineRule="exact"/>
        <w:rPr>
          <w:sz w:val="20"/>
          <w:szCs w:val="20"/>
          <w:color w:val="auto"/>
        </w:rPr>
      </w:pPr>
    </w:p>
    <w:p>
      <w:pPr>
        <w:ind w:right="1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You should read carefully this prospectus, the documents incorporated by reference in this prospectus and any prospectus supplement before you invest.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beginning on page 5 of this prospectus for information on certain risks related to the purchase of our securities.</w:t>
      </w:r>
    </w:p>
    <w:p>
      <w:pPr>
        <w:spacing w:after="0" w:line="13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sell the securities directly or to or through underwriters or dealers, and also to other purchasers or through agents. The names of any underwriters or agents that are included in a sale of securities to you, and any applicable commissions or discounts, will be stated in any accompanying prospectus supplement. In addition, the underwriters, if any, may over-allot a portion of the securities.</w:t>
      </w:r>
    </w:p>
    <w:p>
      <w:pPr>
        <w:spacing w:after="0" w:line="172"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Neither the U.S.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283845</wp:posOffset>
            </wp:positionV>
            <wp:extent cx="1783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47"/>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720" w:type="dxa"/>
            <w:vAlign w:val="bottom"/>
          </w:tcPr>
          <w:p>
            <w:pPr>
              <w:spacing w:after="0"/>
              <w:rPr>
                <w:sz w:val="24"/>
                <w:szCs w:val="24"/>
                <w:color w:val="auto"/>
              </w:rPr>
            </w:pPr>
          </w:p>
        </w:tc>
        <w:tc>
          <w:tcPr>
            <w:tcW w:w="2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8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DOCUMENTS INCORPORATED BY REFERENCE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HIGHPEAK ENERGY, INC.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SECURITYHOLDERS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a “shelf” registration process. Under this shelf registration process, the selling securityholders may offer and sell from time to time the securities described in this prospectus in one or more offerings. This prospectus provides you with a general description of the securities that are registered hereunder that may be offered by the selling securityholders. Each time we offer the securities, we and the selling securityholders will provide you with a prospectus supplement that will describe, among other things, the specific amounts and prices of the securities being offered and the terms of the offering.</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Any prospectus supplement may add, update, or change information contained in this prospectus. Any statement that we make in this prospectus will be modified or superseded by any inconsistent statement made by us in any prospectus supplement. The information in this prospectus is accurate as of its date. Additional information, including our financial statements and the notes thereto, is incorporated in this prospectus by reference to our reports filed with the SEC. Therefore, before you invest in our securities, you should carefully read this prospectus and any prospectus supplement relating to the securities offered to you together with the additional information incorporated by reference in this prospectus and any prospectus supplement (including the documents described under the heading “Where You Can Find More Information” and “Documents Incorporated by Reference” in both this prospectus and any prospectus supplement).</w:t>
      </w:r>
    </w:p>
    <w:p>
      <w:pPr>
        <w:spacing w:after="0" w:line="18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or any prospectus supplement. Neither we nor the selling securityholders have authorized any other person to provide you with different information. If anyone provides you with different or inconsistent information, you should not rely on it. Neither we, the selling securityholders nor anyone acting on our behalf is making an offer to sell these securities in any jurisdiction where the offer or sale is not permitted. You should not assume that the information incorporated by reference or provided in this prospectus or any prospectus supplement is accurate as of any date other than the date on the front of those documents.</w:t>
      </w:r>
    </w:p>
    <w:p>
      <w:pPr>
        <w:spacing w:after="0" w:line="18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throughout this prospectus and any applicable prospectus supplement, the words “we,” “us,” the “registrant,” “the Company,” or “HighPeak Energy” refer to HighPeak Energy, Inc. and the term “securities” refers to the shares of our common stock registered hereunder.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filed a registration statement with the SEC under the Securities Act of 1933, as amended (the “Securities Act”), that registers the offer and sale of the securities covered by this prospectus. The registration statement, including the exhibits attached thereto and incorporated by reference therein, contains additional relevant information about us. In addition, we file annual, quarterly and other reports and other information with the SEC. The SEC maintains a website that contains reports, proxy and information statements and other information regarding issuers that file electronically with the SEC. Our SEC filings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website,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our filings with the SEC pursuant to Section 13(a) or 15(d) of the Securities Exchange Act of 1934, as amended (the “Exchange Act”) as soon as reasonably practicable after we electronically file such material with, or furnish it to, the SEC. We make our website content available for information purposes only. Information contained on our website is not incorporated by reference into this prospectus and does not constitute a part of this prospectus.</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will automatically update information previously filed with the SEC, and may update or replace information in this prospectus and information previously filed with the SEC.</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filings we make with the SEC under Sections 13(a), 13(c), 14, or 15(d) of Exchange Act (excluding information deemed to be furnished and not filed with the SEC), after the date on which the registration statement was initially filed with the SEC (including all such documents that we may file with the SEC after the date the registration statement was initially filed and prior to the effectiveness of the registration statement) until all offerings under the registration statement of which this prospectus forms a part are completed or terminated:</w:t>
      </w:r>
    </w:p>
    <w:p>
      <w:pPr>
        <w:spacing w:after="0" w:line="183"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5">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on March 10, 2025, including those portions of our definitive proxy statement on </w:t>
      </w:r>
      <w:hyperlink r:id="rId4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16, 2025, incorporated by reference therein;</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47">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on May 12, 2025 and August 11, 2025,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49">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August 4,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September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5">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19, 2020, as amended by the Amendment No. 1 on </w:t>
      </w:r>
      <w:hyperlink r:id="rId36">
        <w:r>
          <w:rPr>
            <w:rFonts w:ascii="Times New Roman" w:cs="Times New Roman" w:eastAsia="Times New Roman" w:hAnsi="Times New Roman"/>
            <w:sz w:val="18"/>
            <w:szCs w:val="18"/>
            <w:u w:val="single" w:color="auto"/>
            <w:color w:val="0000EE"/>
          </w:rPr>
          <w:t>Form 8-A12B/A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20, 2020, including any amendments or reports that we may file in the future for the purpose of updating such description.</w:t>
      </w:r>
    </w:p>
    <w:p>
      <w:pPr>
        <w:spacing w:after="0" w:line="176"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reports contain important information about us, our financial condition and our results of operations.</w:t>
      </w:r>
    </w:p>
    <w:p>
      <w:pPr>
        <w:spacing w:after="0" w:line="225" w:lineRule="exact"/>
        <w:rPr>
          <w:rFonts w:ascii="Times New Roman" w:cs="Times New Roman" w:eastAsia="Times New Roman" w:hAnsi="Times New Roman"/>
          <w:sz w:val="18"/>
          <w:szCs w:val="18"/>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prospectus), at no cost, by contacting us at:</w:t>
      </w:r>
    </w:p>
    <w:p>
      <w:pPr>
        <w:spacing w:after="0" w:line="172"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421 W. 3rd Street, Suite 1000</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 Worth, Texas 76012</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850-9200</w:t>
      </w:r>
    </w:p>
    <w:p>
      <w:pPr>
        <w:spacing w:after="0" w:line="206" w:lineRule="exact"/>
        <w:rPr>
          <w:rFonts w:ascii="Times New Roman" w:cs="Times New Roman" w:eastAsia="Times New Roman" w:hAnsi="Times New Roman"/>
          <w:sz w:val="18"/>
          <w:szCs w:val="18"/>
          <w:b w:val="1"/>
          <w:bCs w:val="1"/>
          <w:color w:val="auto"/>
        </w:rPr>
      </w:pPr>
    </w:p>
    <w:p>
      <w:pPr>
        <w:ind w:left="5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information in this prospectus includes “forward-looking statements” within the meaning of Section 27A of the Securities Act, and Section 21E of the Exchange Act. All statements other than statements of historical facts included or incorporated by reference in this prospectus, including, without limitation, statements regarding HighPeak Energy’s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management’s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regarding the following factors.</w:t>
      </w:r>
    </w:p>
    <w:p>
      <w:pPr>
        <w:spacing w:after="0" w:line="19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HighPeak Energy cautions you that forward-looking statements regarding HighPeak Energy, which are contained in this prospectus, are also subject to the following factors:</w:t>
      </w:r>
    </w:p>
    <w:p>
      <w:pPr>
        <w:spacing w:after="0" w:line="162" w:lineRule="exact"/>
        <w:rPr>
          <w:sz w:val="20"/>
          <w:szCs w:val="20"/>
          <w:color w:val="auto"/>
        </w:rPr>
      </w:pPr>
    </w:p>
    <w:p>
      <w:pPr>
        <w:ind w:left="660" w:right="5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the impacts of associated monetary policy responses, including increased or decreased interest rates and resulting pressures on economic growth, U.S. trade policy and the imposition of and changes to tariffs;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wars between Russia and Ukraine and the Israel-Hamas conflict;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public health concerns and the impact of continued actions taken by governmental authorities and other third parties in response to a pandemic and their impact on commodity prices, supply and demand considerations, and storage capacity;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OPEC+ and agreements to set and maintain production levels;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and our ability to access such markets on attractive terms or at all, and related risks such as general credit, liquidity, market and interest-rate risks;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process.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herein and in HighPeak Energy’s periodic filings with the SEC. HighPeak Energy’s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HIGHPEAK ENERGY, INC.</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June 30, 2025, the assets consisted of two highly contiguous leasehold positions of approximately 154,858 gross (143,826 net) acres, approximately 68% of which were held by production, with an average working interest of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six months ended June 30, 2025, approximately 86% and 14% of sales volumes from the assets were attributable to liquids (both crude oil and NGL) and natural gas, respectively. As of June 30, 2025, HighPeak Energy was developing its properties using one (1) drilling rig and one (1) frac crew and expects to average one to two (1-2) drilling rigs and approximately one (1) frac crew during the remainder of 2025 under our current development plan. Our principal executive offices are located at 421 W 3rd Street, Fort Worth, Texas 76102, and our telephone number is (817) 850-9200. Our website address is www.highpeakenergy.com. The information on our website is not part of this prospectus.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421 W 3rd Street, Suite 1000, Fort Worth, Texas 76102, and our telephone number is (817) 850-9200.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The information on our website is not part of this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enacted in April 2012. As a result, we may take advantage of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reducing executive compensation disclosures.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to occur of (1) the last day of the fiscal year (a) following the fifth anniversary of the completion of our business combination, which will be August 21, 2025, (b) in which we have total annual gross revenue of at least $1.235 billion, or (c) in which we are deemed to be a “large accelerated filer” under the rules of the SEC, which means the market value of our common stock that is held by non-affiliates exceeds $700 million as of the prior July 31st and (2) the date on which we have issued more than $1.0 billion in non-convertible debt during the prior three-year period.</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Additionally, we are subject to an extended transition period for complying with new or revised accounting standards. As a result, the information that we provide to our stockholders may be different than what you might receive from other public reporting companies in which you hold equity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Note Regarding Forward-Looking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common stock to be offered by the selling securityholders pursuant to this prospectus. Any proceeds from the sales of common stock under this prospectus will be received by the selling securityholders. However, pursuant to the Registration Rights Agreement, we will pay the expenses, other than underwriting discounts and commissions and brokerage fees, associated with the sales of common stock sold by the selling securityholders pursuant to this prospectus.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description of our common stock is not complete and may not contain all the information you should consider before investing in our common stock. This description is a summary of certain provisions contained in, and is qualified in its entirety by reference to, our second amended and restated certificate of incorporation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A&amp;R Charter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amended and restated bylaws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Common Stock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A&amp;R Charter authorizes the issuance of 600,000,000 shares of our common stock and 10,000,000 shares of preferred stock, par value $0.0001 per share. The outstanding shares of our common stock are duly authorized, validly issued, fully paid and non-assessable. Common stockholders of record are entitled to one vote for each share held on all matters to be voted on by stockholders. As of the date of this prospectus, there were 125,587,093 shares of our common stock issued and outstanding.</w:t>
      </w:r>
    </w:p>
    <w:p>
      <w:pPr>
        <w:spacing w:after="0" w:line="18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Please see our registration statement on Form 8-A12B (File No. 001-39464) filed August 19, 2020, as amended by the Amendment No. 1 on Form 8-A12B/A filed on August 20, 2020, including any amendments or reports that we may file in the future for the purpose of updating such description, which is incorporated by reference herein, for a description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Transfer Agent for HighPeak Energy’s common stock is Continental. HighPeak Energy has agreed to indemnify Continental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A&amp;R Charter and Bylaws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HighPeak Energy is subject to the provisions of Section 203 of the Delaware General Corporation Law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HighPeak Energy’s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HighPeak Energy’s assets. However, the above provisions of Section 203 do not apply if:</w:t>
      </w:r>
    </w:p>
    <w:p>
      <w:pPr>
        <w:spacing w:after="0" w:line="162" w:lineRule="exact"/>
        <w:rPr>
          <w:sz w:val="20"/>
          <w:szCs w:val="20"/>
          <w:color w:val="auto"/>
        </w:rPr>
      </w:pPr>
    </w:p>
    <w:p>
      <w:pPr>
        <w:ind w:left="660" w:right="1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HighPeak Energy (the “Board”) approves the transaction that made the stockholder an “interested stockholder,” prior to the date of the transaction;</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HighPeak Energy’s voting stock outstanding at the time the transaction commenced, other than statutorily excluded shares of voting common stock; or</w:t>
      </w:r>
    </w:p>
    <w:p>
      <w:pPr>
        <w:spacing w:after="0" w:line="1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 meeting of HighPeak Energy’s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HighPeak Energy’s authorized but unissued voting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voting common stock and preferred stock could render more difficult or discourage an attempt to obtain control of HighPeak Energy by means of a proxy contest, tender offer, merger or otherwise.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Written Consent by Stockholders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HighPeak Energy’s A&amp;R Charter provides that prior to the first date in which Sponsor, HighPeak Energy Partners, LP, HighPeak Energy Partners II, LP, and each of their respective affiliates and certain permitted transferees (collectively, the “HighPeak Group”) no longer collectively beneficially owns more than 50% of the outstanding HighPeak Energy voting securities, HighPeak Energy stockholders may take action by written consent of the holders of not less than the minimum number of votes that would be necessary to authorize or take such action at a meeting at which all shares entitled to vote thereon were present and voted. Before such time, any action required or permitted to be taken by HighPeak Energy’s stockholders that is approved in advance by the Board may be effected without a meeting, without prior notice and without a vote of stockholders, if a consent or consents in writing, setting forth the action so taken, is or are signed by the holders of outstanding stock having not less than the minimum number of votes that would be necessary to authorize or take such action at a meeting at which all shares entitled to vote thereon were present and voted. If any such action by written consent is taken then HighPeak Energy will notify its stockholders of the same.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22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Bylaws provide that special meetings of its stockholders may be called only by a majority vote of the entire Board, by HighPeak Energy’s President or by HighPeak Energy’s Chairman.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Bylaws provide that stockholders seeking to bring business before HighPeak Energy’s annual meeting of stockholders, or to nominate candidates for election as directors at HighPeak Energy’s annual meeting of stockholders, must provide timely notice of their intent in writing. To be timely, a stockholder’s notice will need to be received by the Company’s secretary at HighPeak Energy’s principal executive offices not later than the close of business on the ninetieth (90th) day nor earlier than the close of business on the one hundred twentieth (120th) day prior to the anniversary date of the immediately preceding annual meeting of stockholders. Pursuant to Rule 14a-8 of the Exchange Act, proposals seeking inclusion in HighPeak Energy’s Annual Proxy Statement must comply with the notice periods contained therein. The Bylaws also specify certain requirements as to the form and content of a stockholders’ meeting. These provisions may preclude HighPeak Energy’s stockholders from bringing matters before HighPeak Energy’s annual meeting of stockholders or from making nominations for directors at HighPeak Energy’s annual meeting of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A&amp;R Charter provides that a stockholder bringing a claim subject to Article 8 of the A&amp;R Charter will be required to bring that claim in the Court of Chancery in the State of Delaware, subject to the Court of Chancery in the State of Delaware having personal jurisdiction over the defendants. The forum selection provision is not intended to apply to claims arising under the Securities Act or the Exchange Act. To the extent the provision could be constructed to apply to such claims, there is uncertainty as to whether a court would enforce such provision in connection with such claims. The A&amp;R Charter also provides that any person or entity purchasing or otherwise acquiring any interest in shares of our capital stock will be deemed to have notice of, and to have consented to, the provisions of Article 8 of the A&amp;R Charter. Stockholders will not be deemed, by operation of Article 8 of the A&amp;R Charter alone, to have waived claims arising under the federal securities laws and the rules and regulations promulgated thereunder.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w:t>
      </w:r>
    </w:p>
    <w:p>
      <w:pPr>
        <w:spacing w:after="0" w:line="19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HighPeak Energy’s voting common stock for at least six months would be entitled to sell their securities provided that (i) such person is not deemed to have been one of HighPeak Energy’s affiliates at the time of, or at any time during the three months preceding, a sale and (ii) HighPeak Energy is subject to the Exchange Act periodic reporting requirements for at least three months before the sale and has filed all required reports under Section 13 or 15(d) of the Exchange Act during the twelve months (or such shorter period as HighPeak Energy was required to file reports) preceding the sale.</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HighPeak Energy’s voting common stock for at least six months but who are HighPeak Energy’s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such securities then-outstanding; or</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such securities during the four calendar weeks preceding the filing of a notice on Form 144 with respect to the sale.</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Sales by HighPeak Energy’s affiliates under Rule 144 are also limited by manner of sale provisions and notice requirements and to the availability of current public information about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the Use of Rule 144 by Shell Companies or Former Shell Companies</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twelve months (or such shorter period that the issuer was required to file such reports and materials), other than Current Reports on Form 8-K;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HighPeak Energy’s common stock is listed for trading on the Nasdaq under the symbols “HPK”.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Up to 29,057,783 shares of our common stock may be offered for resale by certain selling securityholders under this prospectus, including up to 7,776,549 shares of our common stock owned by the selling securityholders named herein pursuant to the Forward Purchase Agreement. Further, 79,706,576 shares of our common stock may be offered for resale by certain selling securityholders under this prospectus pursuant to the Registration Rights Agreement, dated as of August 21, 2020, by and among HighPeak Energy, Sponsor, HighPeak I, HighPeak II, LP and certain other security holders named therein (the “Registration Rights Agreement”).</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being offered by the selling securityholders (as applicable), including their donees, pledgees, transferees or other successors-in-interest, subject to the transfer restrictions described in this prospectus and the documents incorporated by reference herein, based on the assumptions that: (i) all shares of our common stock, and (ii) no other shares of our common stock will be acquired prior to completion of this offering by the selling securityholders. The following table also sets forth the number of shares known to us, based upon written representations by the selling securityholders, to be beneficially owned by the selling securityholders (as applicable) as of the date of this prospectus. The selling securityholders are not making any representation that any shares of our common stock covered by this prospectus will be offered for sale. The selling securityholders reserve the right to accept or reject, in whole or in part, any proposed sale of the shares of our common stock. For purposes of the table below, we assume that all of the shares of our common stock covered by this prospectus will be sold. As of the date of this prospectus, the selling securityholders have advised us that they do not currently have any plan of distribution with respect to their shares. Unless otherwise indicated, the address of each selling securityholders named in the table below is 421 W. 3rd Street, Suite 1000, Fort Worth, Texas 76102.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1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1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r>
      <w:tr>
        <w:trPr>
          <w:trHeight w:val="216"/>
        </w:trPr>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Name and Address of Selling</w:t>
            </w:r>
          </w:p>
        </w:tc>
        <w:tc>
          <w:tcPr>
            <w:tcW w:w="120" w:type="dxa"/>
            <w:vAlign w:val="bottom"/>
          </w:tcPr>
          <w:p>
            <w:pPr>
              <w:spacing w:after="0"/>
              <w:rPr>
                <w:sz w:val="18"/>
                <w:szCs w:val="18"/>
                <w:color w:val="auto"/>
              </w:rPr>
            </w:pPr>
          </w:p>
        </w:tc>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Available Pursuant</w:t>
            </w:r>
          </w:p>
        </w:tc>
        <w:tc>
          <w:tcPr>
            <w:tcW w:w="12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0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38"/>
        </w:trPr>
        <w:tc>
          <w:tcPr>
            <w:tcW w:w="39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 this Prospectus</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Paul DeJoria Family Trust (2)</w:t>
            </w:r>
          </w:p>
        </w:tc>
        <w:tc>
          <w:tcPr>
            <w:tcW w:w="1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15,457,152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15,457,152(1)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DeJoria Dynasty Trust (3)</w:t>
            </w: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516,500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516,500(1)</w:t>
            </w:r>
          </w:p>
        </w:tc>
        <w:tc>
          <w:tcPr>
            <w:tcW w:w="120" w:type="dxa"/>
            <w:vAlign w:val="bottom"/>
          </w:tcPr>
          <w:p>
            <w:pPr>
              <w:spacing w:after="0"/>
              <w:rPr>
                <w:sz w:val="18"/>
                <w:szCs w:val="18"/>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Hightower (4)</w:t>
            </w:r>
          </w:p>
        </w:tc>
        <w:tc>
          <w:tcPr>
            <w:tcW w:w="1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13,084,131</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13,084,131(1)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HighPeak Pure Acquisition, LLC (5)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3,323,522(5)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3,323,522(7)</w:t>
            </w:r>
          </w:p>
        </w:tc>
        <w:tc>
          <w:tcPr>
            <w:tcW w:w="120" w:type="dxa"/>
            <w:vAlign w:val="bottom"/>
          </w:tcPr>
          <w:p>
            <w:pPr>
              <w:spacing w:after="0"/>
              <w:rPr>
                <w:sz w:val="18"/>
                <w:szCs w:val="18"/>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HighPeak Energy, LP (8)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39,642,461(6)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39,642,461(7)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HighPeak Energy II, LP (9)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36,740,593(6)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36,740,593(7)</w:t>
            </w:r>
          </w:p>
        </w:tc>
        <w:tc>
          <w:tcPr>
            <w:tcW w:w="120" w:type="dxa"/>
            <w:vAlign w:val="bottom"/>
          </w:tcPr>
          <w:p>
            <w:pPr>
              <w:spacing w:after="0"/>
              <w:rPr>
                <w:sz w:val="20"/>
                <w:szCs w:val="20"/>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our common stock being registered on behalf of the selling securityholders pursuant to this registration statement.</w:t>
      </w:r>
    </w:p>
    <w:p>
      <w:pPr>
        <w:spacing w:after="0" w:line="27"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13,868,672 shares of our common stock owned by The John Paul DeJoria Family Trust, and an additional 1,588,480 shares of our common stock which may be acquired from HighPeak Pure Acquisition, LLC. The address of the John Paul DeJoria Family Trust is 109 West 7th Street, Suite 200, Georgetown, Texas 78626.</w:t>
      </w:r>
    </w:p>
    <w:p>
      <w:pPr>
        <w:spacing w:after="0" w:line="1" w:lineRule="exact"/>
        <w:rPr>
          <w:rFonts w:ascii="Times New Roman" w:cs="Times New Roman" w:eastAsia="Times New Roman" w:hAnsi="Times New Roman"/>
          <w:sz w:val="18"/>
          <w:szCs w:val="18"/>
          <w:color w:val="auto"/>
        </w:rPr>
      </w:pPr>
    </w:p>
    <w:p>
      <w:pPr>
        <w:ind w:left="340" w:right="26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516,500 shares of our common stock owned by DeJoria Dynasty Trust. The address of the DeJoria Dynasty Trust is 109 West 7th Street, Suite 200, Georgetown, Texas 78626.</w:t>
      </w:r>
    </w:p>
    <w:p>
      <w:pPr>
        <w:ind w:left="340" w:right="1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7,117,995 shares of our common stock issuable upon the exercise of stock options that have been vested as of September 15, 2025, (ii) 1,385,500 shares of restricted stock units that fully vested as of the Mr. Hightower’s retirement from the Company, of which 545,195 shares of common stock were withheld by the Company to satisfy Mr. Hightower’s tax withholding obligations, resulting in a net issuance to Mr. Hightower of 840,305 shares of common stock, (iii) 1,532,478 shares of common stock distributed by HighPeak Pure Acquisition, LLC to Mr. Hightower, and (iv) 2,336 shares of common stock beneficially owned by Mr. Hightower’s family member.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3,323,522 shares of our common stock issued to Sponsor pursuant to the Business Combination Agreement.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of our common stock issued pursuant to the Business Combination Agreement.</w:t>
      </w:r>
    </w:p>
    <w:p>
      <w:pPr>
        <w:spacing w:after="0" w:line="9" w:lineRule="exact"/>
        <w:rPr>
          <w:rFonts w:ascii="Times New Roman" w:cs="Times New Roman" w:eastAsia="Times New Roman" w:hAnsi="Times New Roman"/>
          <w:sz w:val="18"/>
          <w:szCs w:val="18"/>
          <w:color w:val="auto"/>
        </w:rPr>
      </w:pPr>
    </w:p>
    <w:p>
      <w:pPr>
        <w:ind w:left="340" w:right="8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 being registered on behalf of the applicable selling securityholders pursuant to their rights under the Registration Rights Agreement pursuant to this registration statement.</w:t>
      </w:r>
    </w:p>
    <w:p>
      <w:pPr>
        <w:ind w:left="340" w:hanging="332"/>
        <w:spacing w:after="0" w:line="265"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39,642,461 shares of our common stock issued to HighPeak Energy, LP, a Delaware limited partnership (“HighPeak I”) as merger consideration pursuant to the Business Combination Agreement. The general partner of HighPeak I is HighPeak Energy GP, LLC, a Delaware limited liability company (“HPE GP I”). The sole member of HPE GP I is HighPeak Energy Partners, LP, a Delaware limited partnership (“HPEP I”), whose general partner is HighPeak Energy Partners GP, LP, a Delaware limited partnership (“HPEP GP I”). The general partner of HPEP GP I is HighPeak GP, LLC, a Delaware limited liability company (“HP GP I”). HP GP I is managed by a three-member committee composed of Messrs. Michael Hollis, Daniel Silver and Ryan Hightower. A majority of the members of HP GP I and John Paul DeJoria Family Trust (“JPDFT”), upon 61 days prior written notice, has the right to appoint all managers to the board of managers of HP GP I. Pursuant to that certain Stockholders’ Agreement, dated as of August 21, 2020 (the “Stockholders’ Agreement), HighPeak I designated Mr. Silver as its Designated Director (as defined therein) to serve on the Board.</w:t>
      </w:r>
    </w:p>
    <w:p>
      <w:pPr>
        <w:spacing w:after="0" w:line="1" w:lineRule="exact"/>
        <w:rPr>
          <w:rFonts w:ascii="Times New Roman" w:cs="Times New Roman" w:eastAsia="Times New Roman" w:hAnsi="Times New Roman"/>
          <w:sz w:val="17"/>
          <w:szCs w:val="17"/>
          <w:color w:val="auto"/>
        </w:rPr>
      </w:pPr>
    </w:p>
    <w:p>
      <w:pPr>
        <w:ind w:left="340" w:right="80" w:hanging="332"/>
        <w:spacing w:after="0" w:line="25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36,740,593 shares of our common stock issued to HighPeak Energy II, LP, a Delaware limited partnership (“HighPeak II”) as merger consideration pursuant to the Business Combination Agreement. The general partner of HighPeak II is HighPeak Energy GP II, LLC, a Delaware limited liability company (“HPE GP II”). The sole member of HPE GP II is HighPeak Energy Partners II, LP, a Delaware limited partnership (“HPEP II”). The general partner of HPEP II is HighPeak Energy Partners GP II, LP, a Delaware limited partnership (“HPEP GP II”). The general partner of HPEP GP II is HighPeak Energy GP II, LLC, a Delaware limited liability company (“HP GP II”). HP GP II is managed by a three-member committee composed of Messrs. Hollis, Silver and Hightower. A majority of the members of HP GP II and JPDFT, upon 61 days prior written notice, have the right to appoint all managers to the board of managers of HP GP II. Pursuant to that certain Stockholders’ Agreement, HighPeak II designated Mr. Silver as its Designated Director (as defined therein) to serve on the Board.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includes the registration for resale of (i) 79,706,576 shares of common stock issued as merger consideration in connection with the business combination and (ii) 7,776,549 shares of common stock issued pursuant to the terms Forward Purchase Agreement. As of the date of this prospectus, the selling securityholders have advised us that they do not currently have any plan of distribution. Unless the context otherwise requires, as used in this prospectus, “selling securityholders” includes the selling securityholders named in the table included in the section above entitled “Selling Securityholders” and donees, pledgees, transferees or other successors-in-interest selling securities received from the selling securityholders as a gift, pledge, partnership distribution or other transfer after the date of this prospectus.</w:t>
      </w:r>
    </w:p>
    <w:p>
      <w:pPr>
        <w:spacing w:after="0" w:line="18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all or a portion of the securities covered by this prospectus from time to time, in one or more or any combination of the following transactions:</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(including put or call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sell the securities at prices then prevailing, related to the then prevailing market price or at negotiated prices. The offering price of the securities from time to time will be determined by us and by the selling securityholders and, at the time of the determination, may be higher or lower than the market price of our securities on the Nasdaq or any other exchange or market.</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selling securityholders may also sell our securities short and deliver these securities to close out their short positions, or loan or pledge the securities to broker-dealers that in turn may sell these securities. The shares may be sold directly or through broker-dealers acting as principal or agent, or pursuant to a distribution by one or more underwriters on a firm commitment or best-efforts basis. The selling securityholders may also enter into hedging transactions with broker-dealers. In connection with such transactions, broker-dealers of other financial institutions may engage in short sales of our securities in the course of hedging the positions they assume with us and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also may resell all or a portion of the securities in open market transactions in reliance upon Rule 144 under the Securities Act, provided that they meet the criteria and conform to the requirements of that rule.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7" w:name="page48"/>
    <w:bookmarkEnd w:id="47"/>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agree to indemnify an underwriter, broker-dealer or agent against certain liabilities related to the sale of the securities, including liabilities under the Securities Act. The selling securityholders have advised us that they have not entered into any agreements, understandings or arrangements with any underwriters or broker-dealers regarding the sale of their securities.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8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being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other compensation paid to underwriters or broker-dealers and any discounts, commissions or concessions allowed or reallowed or paid by any underwriters to dealers;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upon being notified by a selling securityholder that a donee, pledgee, transferee or other successor-in-interest intends to sell securities, we will, to the extent required, promptly file a supplement to this prospectus to name specifically such person as a selling securityholder.</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are subject to the applicable provisions of the Exchange Act and the rules and regulations under the Exchange Act, including Regulation M. This regulation may limit the timing of purchases and sales of any of the securities offered in this prospectus by the selling securityholders.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(“FINRA”), the maximum compensation or discount to be received by any FINRA member or independent broker or dealer may not exceed 8% of the aggregate amount of securities offered pursuant to this prospectus.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Under the Registration Rights Agreement entered into with the selling securityholders, we agreed to use our commercially reasonable efforts to keep the registration statement of which this prospectus constitutes a part continuously effective under the Securities Act until the date that all Registrable Securities (as defined in the Registration Rights Agreement) covered by this registration statement have ceased to be Registrable Securities.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in this prospectus will be passed upon for us by Vinson &amp; Elkins L.L.P., Houston, Texas.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balance sheet of HighPeak Energy, Inc. as of December 31, 2024 and the related consolidated statements of operations, changes in stockholders’ equity, and cash flows for each of the three years in the period ended December 31, 2024 included in this prospectus have been audited by Weaver and Tidwell, L.L.P., independent registered public accounting firm, as stated in their report appearing herein and is included upon reliance of the report of such firm given upon their authority as experts in accounting and auditing.</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herein regarding estimated quantities of proved reserves of the Company, the future net revenues from those reserves and their present value as of December 31, 2024 and December 31, 2023, are based on the proved reserves report prepared by Cawley, Gillespie &amp; Associates, Inc. These estimates are included herein in reliance upon the authority of such firm as an expert in these matters.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1948180</wp:posOffset>
            </wp:positionH>
            <wp:positionV relativeFrom="page">
              <wp:posOffset>826135</wp:posOffset>
            </wp:positionV>
            <wp:extent cx="3651885" cy="874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365188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HighPeak Energy, Inc.</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739775</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53975</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0"/>
        <w:spacing w:after="0"/>
        <w:tabs>
          <w:tab w:leader="none" w:pos="6400" w:val="left"/>
        </w:tabs>
        <w:rPr>
          <w:sz w:val="20"/>
          <w:szCs w:val="20"/>
          <w:color w:val="auto"/>
        </w:rPr>
      </w:pPr>
      <w:r>
        <w:rPr>
          <w:rFonts w:ascii="Times New Roman" w:cs="Times New Roman" w:eastAsia="Times New Roman" w:hAnsi="Times New Roman"/>
          <w:sz w:val="25"/>
          <w:szCs w:val="25"/>
          <w:b w:val="1"/>
          <w:bCs w:val="1"/>
          <w:color w:val="auto"/>
        </w:rPr>
        <w:t>Roth Capital Partners</w:t>
      </w:r>
      <w:r>
        <w:rPr>
          <w:sz w:val="20"/>
          <w:szCs w:val="20"/>
          <w:color w:val="auto"/>
        </w:rPr>
        <w:tab/>
      </w:r>
      <w:r>
        <w:rPr>
          <w:rFonts w:ascii="Times New Roman" w:cs="Times New Roman" w:eastAsia="Times New Roman" w:hAnsi="Times New Roman"/>
          <w:sz w:val="25"/>
          <w:szCs w:val="25"/>
          <w:b w:val="1"/>
          <w:bCs w:val="1"/>
          <w:color w:val="auto"/>
        </w:rPr>
        <w:t>USCA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761365</wp:posOffset>
            </wp:positionV>
            <wp:extent cx="178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325755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368935</wp:posOffset>
            </wp:positionV>
            <wp:extent cx="71323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817"/>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817"/>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31"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jpe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jpe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jpe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15" Type="http://schemas.openxmlformats.org/officeDocument/2006/relationships/hyperlink" Target="http://www.sec.gov/ix?doc=/Archives/edgar/data/1792849/000143774925033110/hpe20251103_s3.htm" TargetMode="External"/><Relationship Id="rId29" Type="http://schemas.openxmlformats.org/officeDocument/2006/relationships/hyperlink" Target="http://www.sec.gov/ix?doc=/Archives/edgar/data/0001792849/000143774926007770/hpe20251231_10k.htm" TargetMode="External"/><Relationship Id="rId30" Type="http://schemas.openxmlformats.org/officeDocument/2006/relationships/hyperlink" Target="http://www.sec.gov/ix?doc=/Archives/edgar/data/0001792849/000143774926014193/hpe20260419_def14a.htm" TargetMode="External"/><Relationship Id="rId32" Type="http://schemas.openxmlformats.org/officeDocument/2006/relationships/hyperlink" Target="http://www.sec.gov/ix?doc=/Archives/edgar/data/0001792849/000143774926015191/hpe20260331_10q.htm" TargetMode="External"/><Relationship Id="rId33" Type="http://schemas.openxmlformats.org/officeDocument/2006/relationships/hyperlink" Target="http://www.sec.gov/ix?doc=/Archives/edgar/data/0001792849/000143774926014452/hpe20260501_8k.htm" TargetMode="External"/><Relationship Id="rId34" Type="http://schemas.openxmlformats.org/officeDocument/2006/relationships/hyperlink" Target="http://www.sec.gov/ix?doc=/Archives/edgar/data/0001792849/000143774926015209/hpe20260501c_8k.htm" TargetMode="External"/><Relationship Id="rId35" Type="http://schemas.openxmlformats.org/officeDocument/2006/relationships/hyperlink" Target="http://www.sec.gov/Archives/edgar/data/1792849/000143774920018336/hpe20200819_8a12b.htm" TargetMode="External"/><Relationship Id="rId36" Type="http://schemas.openxmlformats.org/officeDocument/2006/relationships/hyperlink" Target="http://www.sec.gov/Archives/edgar/data/1792849/000143774920018470/hpe20200820_8a12ba.htm" TargetMode="External"/><Relationship Id="rId45" Type="http://schemas.openxmlformats.org/officeDocument/2006/relationships/hyperlink" Target="http://www.sec.gov/ix?doc=/Archives/edgar/data/0001792849/000143774925006838/hpe20241231_10k.htm" TargetMode="External"/><Relationship Id="rId46" Type="http://schemas.openxmlformats.org/officeDocument/2006/relationships/hyperlink" Target="http://www.sec.gov/ix?doc=/Archives/edgar/data/0001792849/000143774925012116/hpe20250409_def14a.htm" TargetMode="External"/><Relationship Id="rId47" Type="http://schemas.openxmlformats.org/officeDocument/2006/relationships/hyperlink" Target="http://www.sec.gov/ix?doc=/Archives/edgar/data/0001792849/000143774925016122/hpe20250331_10q.htm" TargetMode="External"/><Relationship Id="rId48" Type="http://schemas.openxmlformats.org/officeDocument/2006/relationships/hyperlink" Target="http://www.sec.gov/ix?doc=/Archives/edgar/data/0001792849/000143774925025923/hpe20250630_10q.htm" TargetMode="External"/><Relationship Id="rId49" Type="http://schemas.openxmlformats.org/officeDocument/2006/relationships/hyperlink" Target="http://www.sec.gov/ix?doc=/Archives/edgar/data/0001792849/000143774925019287/hpe20250603_8k.htm" TargetMode="External"/><Relationship Id="rId50" Type="http://schemas.openxmlformats.org/officeDocument/2006/relationships/hyperlink" Target="http://www.sec.gov/ix?doc=/Archives/edgar/data/0001792849/000143774925021485/hpe20250623_8k.htm" TargetMode="External"/><Relationship Id="rId51" Type="http://schemas.openxmlformats.org/officeDocument/2006/relationships/hyperlink" Target="http://www.sec.gov/ix?doc=/Archives/edgar/data/0001792849/000143774925024452/hpe20250801_8k.htm" TargetMode="External"/><Relationship Id="rId52" Type="http://schemas.openxmlformats.org/officeDocument/2006/relationships/hyperlink" Target="http://www.sec.gov/ix?doc=/Archives/edgar/data/0001792849/000143774925029088/hpe20250915_8k.htm" TargetMode="External"/><Relationship Id="rId53" Type="http://schemas.openxmlformats.org/officeDocument/2006/relationships/hyperlink" Target="http://www.sec.gov/ix?doc=/Archives/edgar/data/0001792849/000143774925029107/hpe20250915c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2026-05-06T16:00:12Z</dcterms:created>
  <dcterms:modified xsi:type="dcterms:W3CDTF">2026-05-06T16:00:12Z</dcterms:modified>
</cp:coreProperties>
</file>